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0E4A8" w14:textId="1D983496" w:rsidR="00E02B8D" w:rsidRDefault="00000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S2. Definitions of the m</w:t>
      </w:r>
      <w:r>
        <w:rPr>
          <w:rFonts w:ascii="Times New Roman" w:eastAsia="Times New Roman" w:hAnsi="Times New Roman" w:cs="Times New Roman"/>
          <w:b/>
          <w:bCs/>
          <w:color w:val="000000"/>
          <w:sz w:val="24"/>
          <w:szCs w:val="24"/>
        </w:rPr>
        <w:t>eristic, morphometric, and descriptive characters used in th</w:t>
      </w:r>
      <w:r>
        <w:rPr>
          <w:rFonts w:ascii="Times New Roman" w:eastAsia="Times New Roman" w:hAnsi="Times New Roman" w:cs="Times New Roman"/>
          <w:b/>
          <w:bCs/>
          <w:sz w:val="24"/>
          <w:szCs w:val="24"/>
        </w:rPr>
        <w:t>is</w:t>
      </w:r>
      <w:r>
        <w:rPr>
          <w:rFonts w:ascii="Times New Roman" w:eastAsia="Times New Roman" w:hAnsi="Times New Roman" w:cs="Times New Roman"/>
          <w:b/>
          <w:bCs/>
          <w:color w:val="000000"/>
          <w:sz w:val="24"/>
          <w:szCs w:val="24"/>
        </w:rPr>
        <w:t xml:space="preserve"> study. Characters were defined in and adapted from Jenkins (1970; n.d.), Jenkins and Burkhead (1994), and Tracy </w:t>
      </w:r>
      <w:r>
        <w:rPr>
          <w:rFonts w:ascii="Times New Roman" w:eastAsia="Times New Roman" w:hAnsi="Times New Roman" w:cs="Times New Roman"/>
          <w:b/>
          <w:bCs/>
          <w:i/>
          <w:iCs/>
          <w:color w:val="000000"/>
          <w:sz w:val="24"/>
          <w:szCs w:val="24"/>
        </w:rPr>
        <w:t>et al.</w:t>
      </w:r>
      <w:r>
        <w:rPr>
          <w:rFonts w:ascii="Times New Roman" w:eastAsia="Times New Roman" w:hAnsi="Times New Roman" w:cs="Times New Roman"/>
          <w:b/>
          <w:bCs/>
          <w:color w:val="000000"/>
          <w:sz w:val="24"/>
          <w:szCs w:val="24"/>
        </w:rPr>
        <w:t xml:space="preserve"> (2024).</w:t>
      </w:r>
    </w:p>
    <w:tbl>
      <w:tblPr>
        <w:tblStyle w:val="a"/>
        <w:tblW w:w="9360" w:type="dxa"/>
        <w:tblInd w:w="-5" w:type="dxa"/>
        <w:tblLayout w:type="fixed"/>
        <w:tblLook w:val="0400" w:firstRow="0" w:lastRow="0" w:firstColumn="0" w:lastColumn="0" w:noHBand="0" w:noVBand="1"/>
      </w:tblPr>
      <w:tblGrid>
        <w:gridCol w:w="3084"/>
        <w:gridCol w:w="6276"/>
      </w:tblGrid>
      <w:tr w:rsidR="00E02B8D" w14:paraId="35D0E4AB" w14:textId="77777777">
        <w:trPr>
          <w:trHeight w:val="210"/>
        </w:trPr>
        <w:tc>
          <w:tcPr>
            <w:tcW w:w="3084" w:type="dxa"/>
            <w:tcBorders>
              <w:top w:val="single" w:sz="4" w:space="0" w:color="000000"/>
              <w:left w:val="single" w:sz="4" w:space="0" w:color="000000"/>
              <w:bottom w:val="single" w:sz="4" w:space="0" w:color="000000"/>
              <w:right w:val="single" w:sz="4" w:space="0" w:color="000000"/>
            </w:tcBorders>
            <w:shd w:val="clear" w:color="auto" w:fill="D9D9D9"/>
          </w:tcPr>
          <w:p w14:paraId="35D0E4A9" w14:textId="77777777" w:rsidR="00E02B8D" w:rsidRPr="005F13BE" w:rsidRDefault="00000000">
            <w:pPr>
              <w:rPr>
                <w:rFonts w:ascii="Times New Roman" w:eastAsia="Times New Roman" w:hAnsi="Times New Roman" w:cs="Times New Roman"/>
                <w:b/>
                <w:bCs/>
                <w:color w:val="000000"/>
              </w:rPr>
            </w:pPr>
            <w:r w:rsidRPr="005F13BE">
              <w:rPr>
                <w:rFonts w:ascii="Times New Roman" w:eastAsia="Times New Roman" w:hAnsi="Times New Roman" w:cs="Times New Roman"/>
                <w:b/>
                <w:bCs/>
                <w:color w:val="000000"/>
              </w:rPr>
              <w:t>Meristic Characters</w:t>
            </w:r>
          </w:p>
        </w:tc>
        <w:tc>
          <w:tcPr>
            <w:tcW w:w="6275" w:type="dxa"/>
            <w:tcBorders>
              <w:top w:val="single" w:sz="4" w:space="0" w:color="000000"/>
              <w:left w:val="single" w:sz="4" w:space="0" w:color="000000"/>
              <w:bottom w:val="single" w:sz="4" w:space="0" w:color="000000"/>
              <w:right w:val="single" w:sz="4" w:space="0" w:color="000000"/>
            </w:tcBorders>
            <w:shd w:val="clear" w:color="auto" w:fill="D9D9D9"/>
          </w:tcPr>
          <w:p w14:paraId="35D0E4AA" w14:textId="77777777" w:rsidR="00E02B8D" w:rsidRDefault="00E02B8D">
            <w:pPr>
              <w:rPr>
                <w:rFonts w:ascii="Times New Roman" w:eastAsia="Times New Roman" w:hAnsi="Times New Roman" w:cs="Times New Roman"/>
                <w:b/>
                <w:bCs/>
                <w:color w:val="000000"/>
              </w:rPr>
            </w:pPr>
          </w:p>
        </w:tc>
      </w:tr>
      <w:tr w:rsidR="00E02B8D" w14:paraId="35D0E4AE" w14:textId="77777777">
        <w:trPr>
          <w:trHeight w:val="210"/>
        </w:trPr>
        <w:tc>
          <w:tcPr>
            <w:tcW w:w="3084" w:type="dxa"/>
            <w:tcBorders>
              <w:top w:val="single" w:sz="4" w:space="0" w:color="000000"/>
              <w:left w:val="single" w:sz="4" w:space="0" w:color="000000"/>
              <w:bottom w:val="single" w:sz="4" w:space="0" w:color="000000"/>
              <w:right w:val="single" w:sz="4" w:space="0" w:color="000000"/>
            </w:tcBorders>
          </w:tcPr>
          <w:p w14:paraId="35D0E4AC"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Vertebrae</w:t>
            </w:r>
          </w:p>
        </w:tc>
        <w:tc>
          <w:tcPr>
            <w:tcW w:w="6275" w:type="dxa"/>
            <w:tcBorders>
              <w:top w:val="single" w:sz="4" w:space="0" w:color="000000"/>
              <w:left w:val="nil"/>
              <w:bottom w:val="single" w:sz="4" w:space="0" w:color="000000"/>
              <w:right w:val="single" w:sz="4" w:space="0" w:color="000000"/>
            </w:tcBorders>
          </w:tcPr>
          <w:p w14:paraId="35D0E4AD"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Post-Weberian vertebral counts were made from radiographs, the caudal complex included as one and the four Weberian vertebrae excluded</w:t>
            </w:r>
          </w:p>
        </w:tc>
      </w:tr>
      <w:tr w:rsidR="00E02B8D" w14:paraId="35D0E4B1" w14:textId="77777777">
        <w:trPr>
          <w:trHeight w:val="210"/>
        </w:trPr>
        <w:tc>
          <w:tcPr>
            <w:tcW w:w="3084" w:type="dxa"/>
            <w:tcBorders>
              <w:top w:val="nil"/>
              <w:left w:val="single" w:sz="4" w:space="0" w:color="000000"/>
              <w:bottom w:val="single" w:sz="4" w:space="0" w:color="000000"/>
              <w:right w:val="single" w:sz="4" w:space="0" w:color="000000"/>
            </w:tcBorders>
          </w:tcPr>
          <w:p w14:paraId="35D0E4AF"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Dorsal-Fin Rays</w:t>
            </w:r>
          </w:p>
        </w:tc>
        <w:tc>
          <w:tcPr>
            <w:tcW w:w="6275" w:type="dxa"/>
            <w:tcBorders>
              <w:top w:val="nil"/>
              <w:left w:val="nil"/>
              <w:bottom w:val="single" w:sz="4" w:space="0" w:color="000000"/>
              <w:right w:val="single" w:sz="4" w:space="0" w:color="000000"/>
            </w:tcBorders>
          </w:tcPr>
          <w:p w14:paraId="35D0E4B0" w14:textId="0618BEA8"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Count of only the principal rays; </w:t>
            </w:r>
            <w:r w:rsidR="0048018A">
              <w:rPr>
                <w:rFonts w:ascii="Times New Roman" w:eastAsia="Times New Roman" w:hAnsi="Times New Roman" w:cs="Times New Roman"/>
                <w:color w:val="000000"/>
              </w:rPr>
              <w:t xml:space="preserve">if </w:t>
            </w:r>
            <w:r>
              <w:rPr>
                <w:rFonts w:ascii="Times New Roman" w:eastAsia="Times New Roman" w:hAnsi="Times New Roman" w:cs="Times New Roman"/>
                <w:color w:val="000000"/>
              </w:rPr>
              <w:t>the last ray of the fin is divided to its base, the two elements</w:t>
            </w:r>
            <w:r w:rsidR="009B6520">
              <w:rPr>
                <w:rFonts w:ascii="Times New Roman" w:eastAsia="Times New Roman" w:hAnsi="Times New Roman" w:cs="Times New Roman"/>
                <w:color w:val="000000"/>
              </w:rPr>
              <w:t xml:space="preserve"> </w:t>
            </w:r>
            <w:r w:rsidR="00EA7755">
              <w:rPr>
                <w:rFonts w:ascii="Times New Roman" w:eastAsia="Times New Roman" w:hAnsi="Times New Roman" w:cs="Times New Roman"/>
                <w:color w:val="000000"/>
              </w:rPr>
              <w:t xml:space="preserve">were </w:t>
            </w:r>
            <w:r>
              <w:rPr>
                <w:rFonts w:ascii="Times New Roman" w:eastAsia="Times New Roman" w:hAnsi="Times New Roman" w:cs="Times New Roman"/>
                <w:color w:val="000000"/>
              </w:rPr>
              <w:t>counted as one ray</w:t>
            </w:r>
          </w:p>
        </w:tc>
      </w:tr>
      <w:tr w:rsidR="00E02B8D" w14:paraId="35D0E4B4" w14:textId="77777777">
        <w:trPr>
          <w:trHeight w:val="210"/>
        </w:trPr>
        <w:tc>
          <w:tcPr>
            <w:tcW w:w="3084" w:type="dxa"/>
            <w:tcBorders>
              <w:top w:val="nil"/>
              <w:left w:val="single" w:sz="4" w:space="0" w:color="000000"/>
              <w:bottom w:val="single" w:sz="4" w:space="0" w:color="000000"/>
              <w:right w:val="single" w:sz="4" w:space="0" w:color="000000"/>
            </w:tcBorders>
          </w:tcPr>
          <w:p w14:paraId="35D0E4B2"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Pectoral-Fin Rays</w:t>
            </w:r>
          </w:p>
        </w:tc>
        <w:tc>
          <w:tcPr>
            <w:tcW w:w="6275" w:type="dxa"/>
            <w:tcBorders>
              <w:top w:val="nil"/>
              <w:left w:val="nil"/>
              <w:bottom w:val="single" w:sz="4" w:space="0" w:color="000000"/>
              <w:right w:val="single" w:sz="4" w:space="0" w:color="000000"/>
            </w:tcBorders>
          </w:tcPr>
          <w:p w14:paraId="35D0E4B3"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made of all rays, both branched and unbranched</w:t>
            </w:r>
          </w:p>
        </w:tc>
      </w:tr>
      <w:tr w:rsidR="00E02B8D" w14:paraId="35D0E4B7" w14:textId="77777777">
        <w:trPr>
          <w:trHeight w:val="210"/>
        </w:trPr>
        <w:tc>
          <w:tcPr>
            <w:tcW w:w="3084" w:type="dxa"/>
            <w:tcBorders>
              <w:top w:val="nil"/>
              <w:left w:val="single" w:sz="4" w:space="0" w:color="000000"/>
              <w:bottom w:val="single" w:sz="4" w:space="0" w:color="000000"/>
              <w:right w:val="single" w:sz="4" w:space="0" w:color="000000"/>
            </w:tcBorders>
          </w:tcPr>
          <w:p w14:paraId="35D0E4B5"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Pelvic-Fin Rays</w:t>
            </w:r>
          </w:p>
        </w:tc>
        <w:tc>
          <w:tcPr>
            <w:tcW w:w="6275" w:type="dxa"/>
            <w:tcBorders>
              <w:top w:val="nil"/>
              <w:left w:val="nil"/>
              <w:bottom w:val="single" w:sz="4" w:space="0" w:color="000000"/>
              <w:right w:val="single" w:sz="4" w:space="0" w:color="000000"/>
            </w:tcBorders>
          </w:tcPr>
          <w:p w14:paraId="35D0E4B6" w14:textId="6B0D0D6F"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Count made of all rays, both branched and unbranched on both sides; </w:t>
            </w:r>
            <w:r w:rsidR="009B6520">
              <w:rPr>
                <w:rFonts w:ascii="Times New Roman" w:eastAsia="Times New Roman" w:hAnsi="Times New Roman" w:cs="Times New Roman"/>
                <w:color w:val="000000"/>
              </w:rPr>
              <w:t>ex.</w:t>
            </w:r>
            <w:r>
              <w:rPr>
                <w:rFonts w:ascii="Times New Roman" w:eastAsia="Times New Roman" w:hAnsi="Times New Roman" w:cs="Times New Roman"/>
                <w:color w:val="000000"/>
              </w:rPr>
              <w:t>10-9 mean</w:t>
            </w:r>
            <w:r w:rsidR="009B6520">
              <w:rPr>
                <w:rFonts w:ascii="Times New Roman" w:eastAsia="Times New Roman" w:hAnsi="Times New Roman" w:cs="Times New Roman"/>
                <w:color w:val="000000"/>
              </w:rPr>
              <w:t>ing</w:t>
            </w:r>
            <w:r>
              <w:rPr>
                <w:rFonts w:ascii="Times New Roman" w:eastAsia="Times New Roman" w:hAnsi="Times New Roman" w:cs="Times New Roman"/>
                <w:color w:val="000000"/>
              </w:rPr>
              <w:t xml:space="preserve"> that 10 rays were in the left and 9 in the right pelvic fin of a specimen</w:t>
            </w:r>
          </w:p>
        </w:tc>
      </w:tr>
      <w:tr w:rsidR="00E02B8D" w14:paraId="35D0E4BA" w14:textId="77777777">
        <w:trPr>
          <w:trHeight w:val="210"/>
        </w:trPr>
        <w:tc>
          <w:tcPr>
            <w:tcW w:w="3084" w:type="dxa"/>
            <w:tcBorders>
              <w:top w:val="nil"/>
              <w:left w:val="single" w:sz="4" w:space="0" w:color="000000"/>
              <w:bottom w:val="single" w:sz="4" w:space="0" w:color="000000"/>
              <w:right w:val="single" w:sz="4" w:space="0" w:color="000000"/>
            </w:tcBorders>
          </w:tcPr>
          <w:p w14:paraId="35D0E4B8"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Anal-Fin Rays</w:t>
            </w:r>
          </w:p>
        </w:tc>
        <w:tc>
          <w:tcPr>
            <w:tcW w:w="6275" w:type="dxa"/>
            <w:tcBorders>
              <w:top w:val="nil"/>
              <w:left w:val="nil"/>
              <w:bottom w:val="single" w:sz="4" w:space="0" w:color="000000"/>
              <w:right w:val="single" w:sz="4" w:space="0" w:color="000000"/>
            </w:tcBorders>
          </w:tcPr>
          <w:p w14:paraId="35D0E4B9" w14:textId="3F8B9D90"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Count of only the principal rays; </w:t>
            </w:r>
            <w:r w:rsidR="009B6520">
              <w:rPr>
                <w:rFonts w:ascii="Times New Roman" w:eastAsia="Times New Roman" w:hAnsi="Times New Roman" w:cs="Times New Roman"/>
                <w:color w:val="000000"/>
              </w:rPr>
              <w:t xml:space="preserve">if </w:t>
            </w:r>
            <w:r>
              <w:rPr>
                <w:rFonts w:ascii="Times New Roman" w:eastAsia="Times New Roman" w:hAnsi="Times New Roman" w:cs="Times New Roman"/>
                <w:color w:val="000000"/>
              </w:rPr>
              <w:t xml:space="preserve">the last ray of the fin is divided to its base, the two elements </w:t>
            </w:r>
            <w:r w:rsidR="00EA7755">
              <w:rPr>
                <w:rFonts w:ascii="Times New Roman" w:eastAsia="Times New Roman" w:hAnsi="Times New Roman" w:cs="Times New Roman"/>
                <w:color w:val="000000"/>
              </w:rPr>
              <w:t>were</w:t>
            </w:r>
            <w:r>
              <w:rPr>
                <w:rFonts w:ascii="Times New Roman" w:eastAsia="Times New Roman" w:hAnsi="Times New Roman" w:cs="Times New Roman"/>
                <w:color w:val="000000"/>
              </w:rPr>
              <w:t xml:space="preserve"> counted as one ray</w:t>
            </w:r>
          </w:p>
        </w:tc>
      </w:tr>
      <w:tr w:rsidR="00E02B8D" w14:paraId="35D0E4BD" w14:textId="77777777">
        <w:trPr>
          <w:trHeight w:val="210"/>
        </w:trPr>
        <w:tc>
          <w:tcPr>
            <w:tcW w:w="3084" w:type="dxa"/>
            <w:tcBorders>
              <w:top w:val="nil"/>
              <w:left w:val="single" w:sz="4" w:space="0" w:color="000000"/>
              <w:bottom w:val="single" w:sz="4" w:space="0" w:color="000000"/>
              <w:right w:val="single" w:sz="4" w:space="0" w:color="000000"/>
            </w:tcBorders>
          </w:tcPr>
          <w:p w14:paraId="35D0E4BB"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Caudal-Fin Rays</w:t>
            </w:r>
          </w:p>
        </w:tc>
        <w:tc>
          <w:tcPr>
            <w:tcW w:w="6275" w:type="dxa"/>
            <w:tcBorders>
              <w:top w:val="nil"/>
              <w:left w:val="nil"/>
              <w:bottom w:val="single" w:sz="4" w:space="0" w:color="000000"/>
              <w:right w:val="single" w:sz="4" w:space="0" w:color="000000"/>
            </w:tcBorders>
          </w:tcPr>
          <w:p w14:paraId="35D0E4BC"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of branched and the two principal unbranched rays</w:t>
            </w:r>
          </w:p>
        </w:tc>
      </w:tr>
      <w:tr w:rsidR="00E02B8D" w14:paraId="35D0E4C0" w14:textId="77777777">
        <w:trPr>
          <w:trHeight w:val="210"/>
        </w:trPr>
        <w:tc>
          <w:tcPr>
            <w:tcW w:w="3084" w:type="dxa"/>
            <w:tcBorders>
              <w:top w:val="nil"/>
              <w:left w:val="single" w:sz="4" w:space="0" w:color="000000"/>
              <w:bottom w:val="single" w:sz="4" w:space="0" w:color="000000"/>
              <w:right w:val="single" w:sz="4" w:space="0" w:color="000000"/>
            </w:tcBorders>
          </w:tcPr>
          <w:p w14:paraId="35D0E4BE"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Lateral-Line Scales</w:t>
            </w:r>
          </w:p>
        </w:tc>
        <w:tc>
          <w:tcPr>
            <w:tcW w:w="6275" w:type="dxa"/>
            <w:tcBorders>
              <w:top w:val="nil"/>
              <w:left w:val="nil"/>
              <w:bottom w:val="single" w:sz="4" w:space="0" w:color="000000"/>
              <w:right w:val="single" w:sz="4" w:space="0" w:color="000000"/>
            </w:tcBorders>
          </w:tcPr>
          <w:p w14:paraId="35D0E4BF" w14:textId="515F216B" w:rsidR="00E02B8D" w:rsidRDefault="0097629A">
            <w:pPr>
              <w:rPr>
                <w:rFonts w:ascii="Times New Roman" w:eastAsia="Times New Roman" w:hAnsi="Times New Roman" w:cs="Times New Roman"/>
                <w:color w:val="000000"/>
              </w:rPr>
            </w:pPr>
            <w:r>
              <w:rPr>
                <w:rFonts w:ascii="Times New Roman" w:eastAsia="Times New Roman" w:hAnsi="Times New Roman" w:cs="Times New Roman"/>
                <w:color w:val="000000"/>
              </w:rPr>
              <w:t>H</w:t>
            </w:r>
            <w:r w:rsidR="00000000">
              <w:rPr>
                <w:rFonts w:ascii="Times New Roman" w:eastAsia="Times New Roman" w:hAnsi="Times New Roman" w:cs="Times New Roman"/>
                <w:color w:val="000000"/>
              </w:rPr>
              <w:t>orizontal count of body scales that overlay the lateral-line sensory canal; extending from the shoulder (pectoral) girdle to the structural base of the caudal fin (hypural plate)</w:t>
            </w:r>
          </w:p>
        </w:tc>
      </w:tr>
      <w:tr w:rsidR="00E02B8D" w14:paraId="35D0E4C3" w14:textId="77777777">
        <w:trPr>
          <w:trHeight w:val="210"/>
        </w:trPr>
        <w:tc>
          <w:tcPr>
            <w:tcW w:w="3084" w:type="dxa"/>
            <w:tcBorders>
              <w:top w:val="nil"/>
              <w:left w:val="single" w:sz="4" w:space="0" w:color="000000"/>
              <w:bottom w:val="single" w:sz="4" w:space="0" w:color="000000"/>
              <w:right w:val="single" w:sz="4" w:space="0" w:color="000000"/>
            </w:tcBorders>
          </w:tcPr>
          <w:p w14:paraId="35D0E4C1"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Circumferential Scales</w:t>
            </w:r>
          </w:p>
        </w:tc>
        <w:tc>
          <w:tcPr>
            <w:tcW w:w="6275" w:type="dxa"/>
            <w:tcBorders>
              <w:top w:val="nil"/>
              <w:left w:val="nil"/>
              <w:bottom w:val="single" w:sz="4" w:space="0" w:color="000000"/>
              <w:right w:val="single" w:sz="4" w:space="0" w:color="000000"/>
            </w:tcBorders>
          </w:tcPr>
          <w:p w14:paraId="35D0E4C2" w14:textId="5A4ECA2F" w:rsidR="00E02B8D" w:rsidRDefault="0097629A">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made diagonally around the body of the horizontal scale rows just anterior to the dorsal and pelvic fins</w:t>
            </w:r>
            <w:r w:rsidR="003B6368">
              <w:rPr>
                <w:rFonts w:ascii="Times New Roman" w:eastAsia="Times New Roman" w:hAnsi="Times New Roman" w:cs="Times New Roman"/>
                <w:color w:val="000000"/>
              </w:rPr>
              <w:t xml:space="preserve">; </w:t>
            </w:r>
            <w:r w:rsidR="003B6368" w:rsidRPr="003B6368">
              <w:rPr>
                <w:rFonts w:ascii="Times New Roman" w:eastAsia="Times New Roman" w:hAnsi="Times New Roman" w:cs="Times New Roman"/>
                <w:color w:val="000000"/>
              </w:rPr>
              <w:t>generally made by counting the scale rows around the back (all rows above the lateral-line) and the scale rows around the belly (all rows below the lateral-line). Summing these two counts and adding two for the lateral-line scales (one scale on each side of the body).</w:t>
            </w:r>
            <w:r w:rsidR="00344678">
              <w:rPr>
                <w:rFonts w:ascii="Times New Roman" w:eastAsia="Times New Roman" w:hAnsi="Times New Roman" w:cs="Times New Roman"/>
                <w:color w:val="000000"/>
              </w:rPr>
              <w:t xml:space="preserve"> </w:t>
            </w:r>
            <w:r w:rsidR="00000000">
              <w:rPr>
                <w:rFonts w:ascii="Times New Roman" w:eastAsia="Times New Roman" w:hAnsi="Times New Roman" w:cs="Times New Roman"/>
                <w:color w:val="000000"/>
              </w:rPr>
              <w:t xml:space="preserve">In </w:t>
            </w:r>
            <w:r w:rsidR="00000000">
              <w:rPr>
                <w:rFonts w:ascii="Times New Roman" w:eastAsia="Times New Roman" w:hAnsi="Times New Roman" w:cs="Times New Roman"/>
                <w:i/>
                <w:iCs/>
                <w:color w:val="000000"/>
              </w:rPr>
              <w:t>Moxostoma</w:t>
            </w:r>
            <w:r w:rsidR="00000000">
              <w:rPr>
                <w:rFonts w:ascii="Times New Roman" w:eastAsia="Times New Roman" w:hAnsi="Times New Roman" w:cs="Times New Roman"/>
                <w:color w:val="000000"/>
              </w:rPr>
              <w:t>, because the dorsal and pelvic fin origins are not vertically aligned, the count is made along separate diagonal planes, still passing just anterior to each fin origin</w:t>
            </w:r>
          </w:p>
        </w:tc>
      </w:tr>
      <w:tr w:rsidR="00E02B8D" w14:paraId="35D0E4C6" w14:textId="77777777">
        <w:trPr>
          <w:trHeight w:val="210"/>
        </w:trPr>
        <w:tc>
          <w:tcPr>
            <w:tcW w:w="3084" w:type="dxa"/>
            <w:tcBorders>
              <w:top w:val="nil"/>
              <w:left w:val="single" w:sz="4" w:space="0" w:color="000000"/>
              <w:bottom w:val="single" w:sz="4" w:space="0" w:color="000000"/>
              <w:right w:val="single" w:sz="4" w:space="0" w:color="000000"/>
            </w:tcBorders>
          </w:tcPr>
          <w:p w14:paraId="35D0E4C4"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Circumferential Scales Above Lateral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Line</w:t>
            </w:r>
          </w:p>
        </w:tc>
        <w:tc>
          <w:tcPr>
            <w:tcW w:w="6275" w:type="dxa"/>
            <w:tcBorders>
              <w:top w:val="nil"/>
              <w:left w:val="nil"/>
              <w:bottom w:val="single" w:sz="4" w:space="0" w:color="000000"/>
              <w:right w:val="single" w:sz="4" w:space="0" w:color="000000"/>
            </w:tcBorders>
          </w:tcPr>
          <w:p w14:paraId="35D0E4C5" w14:textId="1BAF49FD" w:rsidR="00E02B8D" w:rsidRDefault="00423ACA">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scales on each side of the body above the lateral-line</w:t>
            </w:r>
            <w:r w:rsidR="007E0EDA">
              <w:rPr>
                <w:rFonts w:ascii="Times New Roman" w:eastAsia="Times New Roman" w:hAnsi="Times New Roman" w:cs="Times New Roman"/>
                <w:color w:val="000000"/>
              </w:rPr>
              <w:t xml:space="preserve">; </w:t>
            </w:r>
            <w:r w:rsidR="00000000">
              <w:rPr>
                <w:rFonts w:ascii="Times New Roman" w:eastAsia="Times New Roman" w:hAnsi="Times New Roman" w:cs="Times New Roman"/>
                <w:color w:val="000000"/>
              </w:rPr>
              <w:t>count begins</w:t>
            </w:r>
            <w:r w:rsidR="00F53646">
              <w:rPr>
                <w:rFonts w:ascii="Times New Roman" w:eastAsia="Times New Roman" w:hAnsi="Times New Roman" w:cs="Times New Roman"/>
                <w:color w:val="000000"/>
              </w:rPr>
              <w:t xml:space="preserve"> </w:t>
            </w:r>
            <w:r w:rsidR="00000000">
              <w:rPr>
                <w:rFonts w:ascii="Times New Roman" w:eastAsia="Times New Roman" w:hAnsi="Times New Roman" w:cs="Times New Roman"/>
                <w:color w:val="000000"/>
              </w:rPr>
              <w:t>at the origin of the dorsal fin, including the dorsal scales, and scales are counted downward and backward along the natural oblique (diagonal) row, ending with the scale just above the lateral-line scale. The two counts are summed</w:t>
            </w:r>
          </w:p>
        </w:tc>
      </w:tr>
      <w:tr w:rsidR="00E02B8D" w14:paraId="35D0E4C9" w14:textId="77777777">
        <w:trPr>
          <w:trHeight w:val="210"/>
        </w:trPr>
        <w:tc>
          <w:tcPr>
            <w:tcW w:w="3084" w:type="dxa"/>
            <w:tcBorders>
              <w:top w:val="nil"/>
              <w:left w:val="single" w:sz="4" w:space="0" w:color="000000"/>
              <w:bottom w:val="single" w:sz="4" w:space="0" w:color="000000"/>
              <w:right w:val="single" w:sz="4" w:space="0" w:color="000000"/>
            </w:tcBorders>
          </w:tcPr>
          <w:p w14:paraId="35D0E4C7"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Circumferential Scales Below Lateral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Line</w:t>
            </w:r>
          </w:p>
        </w:tc>
        <w:tc>
          <w:tcPr>
            <w:tcW w:w="6275" w:type="dxa"/>
            <w:tcBorders>
              <w:top w:val="nil"/>
              <w:left w:val="nil"/>
              <w:bottom w:val="single" w:sz="4" w:space="0" w:color="000000"/>
              <w:right w:val="single" w:sz="4" w:space="0" w:color="000000"/>
            </w:tcBorders>
          </w:tcPr>
          <w:p w14:paraId="35D0E4C8" w14:textId="2EB62B61" w:rsidR="00E02B8D" w:rsidRDefault="003D76B6">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scales on each side of the body below the lateral-line</w:t>
            </w:r>
            <w:r w:rsidR="00F53646">
              <w:rPr>
                <w:rFonts w:ascii="Times New Roman" w:eastAsia="Times New Roman" w:hAnsi="Times New Roman" w:cs="Times New Roman"/>
                <w:color w:val="000000"/>
              </w:rPr>
              <w:t>;</w:t>
            </w:r>
            <w:r w:rsidR="00000000">
              <w:rPr>
                <w:rFonts w:ascii="Times New Roman" w:eastAsia="Times New Roman" w:hAnsi="Times New Roman" w:cs="Times New Roman"/>
                <w:color w:val="000000"/>
              </w:rPr>
              <w:t xml:space="preserve"> count begins at the origin of the pelvic fin</w:t>
            </w:r>
            <w:r w:rsidR="00B06B6E">
              <w:rPr>
                <w:rFonts w:ascii="Times New Roman" w:eastAsia="Times New Roman" w:hAnsi="Times New Roman" w:cs="Times New Roman"/>
                <w:color w:val="000000"/>
              </w:rPr>
              <w:t>, and s</w:t>
            </w:r>
            <w:r w:rsidR="00000000">
              <w:rPr>
                <w:rFonts w:ascii="Times New Roman" w:eastAsia="Times New Roman" w:hAnsi="Times New Roman" w:cs="Times New Roman"/>
                <w:color w:val="000000"/>
              </w:rPr>
              <w:t>cales are counted upward and forward along the natural oblique (diagonal) row, to the scale just below the lateral-line scale row. The two counts, including the belly scales, are summed</w:t>
            </w:r>
          </w:p>
        </w:tc>
      </w:tr>
      <w:tr w:rsidR="00E02B8D" w14:paraId="35D0E4CC" w14:textId="77777777">
        <w:trPr>
          <w:trHeight w:val="210"/>
        </w:trPr>
        <w:tc>
          <w:tcPr>
            <w:tcW w:w="3084" w:type="dxa"/>
            <w:tcBorders>
              <w:top w:val="nil"/>
              <w:left w:val="single" w:sz="4" w:space="0" w:color="000000"/>
              <w:bottom w:val="single" w:sz="4" w:space="0" w:color="000000"/>
              <w:right w:val="single" w:sz="4" w:space="0" w:color="000000"/>
            </w:tcBorders>
          </w:tcPr>
          <w:p w14:paraId="35D0E4CA"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Circumpeduncle Scales</w:t>
            </w:r>
          </w:p>
        </w:tc>
        <w:tc>
          <w:tcPr>
            <w:tcW w:w="6275" w:type="dxa"/>
            <w:tcBorders>
              <w:top w:val="nil"/>
              <w:left w:val="nil"/>
              <w:bottom w:val="single" w:sz="4" w:space="0" w:color="000000"/>
              <w:right w:val="single" w:sz="4" w:space="0" w:color="000000"/>
            </w:tcBorders>
          </w:tcPr>
          <w:p w14:paraId="35D0E4CB" w14:textId="77778F45" w:rsidR="00E02B8D" w:rsidRDefault="00B06B6E">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the number of scales encircling the caudal peduncle at the narrowest portion of the caudal peduncle</w:t>
            </w:r>
          </w:p>
        </w:tc>
      </w:tr>
      <w:tr w:rsidR="00E02B8D" w14:paraId="35D0E4CF" w14:textId="77777777">
        <w:trPr>
          <w:trHeight w:val="210"/>
        </w:trPr>
        <w:tc>
          <w:tcPr>
            <w:tcW w:w="3084" w:type="dxa"/>
            <w:tcBorders>
              <w:top w:val="nil"/>
              <w:left w:val="single" w:sz="4" w:space="0" w:color="000000"/>
              <w:bottom w:val="single" w:sz="4" w:space="0" w:color="000000"/>
              <w:right w:val="single" w:sz="4" w:space="0" w:color="000000"/>
            </w:tcBorders>
          </w:tcPr>
          <w:p w14:paraId="35D0E4CD"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Predorsal Scales</w:t>
            </w:r>
          </w:p>
        </w:tc>
        <w:tc>
          <w:tcPr>
            <w:tcW w:w="6275" w:type="dxa"/>
            <w:tcBorders>
              <w:top w:val="nil"/>
              <w:left w:val="nil"/>
              <w:bottom w:val="single" w:sz="4" w:space="0" w:color="000000"/>
              <w:right w:val="single" w:sz="4" w:space="0" w:color="000000"/>
            </w:tcBorders>
          </w:tcPr>
          <w:p w14:paraId="35D0E4CE" w14:textId="1DAAF21F"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of mid-dorsal scales from the nape to the dorsal-fin along the left side of the specimen</w:t>
            </w:r>
          </w:p>
        </w:tc>
      </w:tr>
      <w:tr w:rsidR="00E02B8D" w14:paraId="35D0E4D2" w14:textId="77777777">
        <w:trPr>
          <w:trHeight w:val="210"/>
        </w:trPr>
        <w:tc>
          <w:tcPr>
            <w:tcW w:w="3084" w:type="dxa"/>
            <w:tcBorders>
              <w:top w:val="nil"/>
              <w:left w:val="single" w:sz="4" w:space="0" w:color="000000"/>
              <w:bottom w:val="nil"/>
              <w:right w:val="single" w:sz="4" w:space="0" w:color="000000"/>
            </w:tcBorders>
          </w:tcPr>
          <w:p w14:paraId="35D0E4D0"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Gill Rakers</w:t>
            </w:r>
          </w:p>
        </w:tc>
        <w:tc>
          <w:tcPr>
            <w:tcW w:w="6275" w:type="dxa"/>
            <w:tcBorders>
              <w:top w:val="nil"/>
              <w:left w:val="nil"/>
              <w:bottom w:val="single" w:sz="4" w:space="0" w:color="000000"/>
              <w:right w:val="single" w:sz="4" w:space="0" w:color="000000"/>
            </w:tcBorders>
          </w:tcPr>
          <w:p w14:paraId="35D0E4D1" w14:textId="30C5B3FB"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Count </w:t>
            </w:r>
            <w:r w:rsidR="00895681">
              <w:rPr>
                <w:rFonts w:ascii="Times New Roman" w:eastAsia="Times New Roman" w:hAnsi="Times New Roman" w:cs="Times New Roman"/>
                <w:color w:val="000000"/>
              </w:rPr>
              <w:t xml:space="preserve">made </w:t>
            </w:r>
            <w:r>
              <w:rPr>
                <w:rFonts w:ascii="Times New Roman" w:eastAsia="Times New Roman" w:hAnsi="Times New Roman" w:cs="Times New Roman"/>
                <w:color w:val="000000"/>
              </w:rPr>
              <w:t xml:space="preserve">on the lateral (or anterior) surface of the first right </w:t>
            </w:r>
            <w:r w:rsidR="00F11AF4">
              <w:rPr>
                <w:rFonts w:ascii="Times New Roman" w:eastAsia="Times New Roman" w:hAnsi="Times New Roman" w:cs="Times New Roman"/>
                <w:color w:val="000000"/>
              </w:rPr>
              <w:t xml:space="preserve">gill </w:t>
            </w:r>
            <w:r>
              <w:rPr>
                <w:rFonts w:ascii="Times New Roman" w:eastAsia="Times New Roman" w:hAnsi="Times New Roman" w:cs="Times New Roman"/>
                <w:color w:val="000000"/>
              </w:rPr>
              <w:t xml:space="preserve">arch. Counts </w:t>
            </w:r>
            <w:r w:rsidR="00717AEF">
              <w:rPr>
                <w:rFonts w:ascii="Times New Roman" w:eastAsia="Times New Roman" w:hAnsi="Times New Roman" w:cs="Times New Roman"/>
                <w:color w:val="000000"/>
              </w:rPr>
              <w:t>are</w:t>
            </w:r>
            <w:r>
              <w:rPr>
                <w:rFonts w:ascii="Times New Roman" w:eastAsia="Times New Roman" w:hAnsi="Times New Roman" w:cs="Times New Roman"/>
                <w:color w:val="000000"/>
              </w:rPr>
              <w:t xml:space="preserve"> total count, including all small upper and lower arch elements that were evidently, though very slightly, raised above the pharyngeal mucosal surface</w:t>
            </w:r>
          </w:p>
        </w:tc>
      </w:tr>
      <w:tr w:rsidR="00E02B8D" w14:paraId="35D0E4D5" w14:textId="77777777">
        <w:trPr>
          <w:trHeight w:val="210"/>
        </w:trPr>
        <w:tc>
          <w:tcPr>
            <w:tcW w:w="3084" w:type="dxa"/>
            <w:tcBorders>
              <w:top w:val="single" w:sz="4" w:space="0" w:color="000000"/>
              <w:left w:val="single" w:sz="4" w:space="0" w:color="000000"/>
              <w:bottom w:val="single" w:sz="4" w:space="0" w:color="000000"/>
              <w:right w:val="single" w:sz="4" w:space="0" w:color="000000"/>
            </w:tcBorders>
          </w:tcPr>
          <w:p w14:paraId="35D0E4D3"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Lower Lip Angle (º)</w:t>
            </w:r>
          </w:p>
        </w:tc>
        <w:tc>
          <w:tcPr>
            <w:tcW w:w="6275" w:type="dxa"/>
            <w:tcBorders>
              <w:top w:val="nil"/>
              <w:left w:val="nil"/>
              <w:bottom w:val="single" w:sz="4" w:space="0" w:color="000000"/>
              <w:right w:val="single" w:sz="4" w:space="0" w:color="000000"/>
            </w:tcBorders>
          </w:tcPr>
          <w:p w14:paraId="35D0E4D4" w14:textId="78142A57" w:rsidR="00E02B8D" w:rsidRDefault="00000000">
            <w:pPr>
              <w:rPr>
                <w:rFonts w:ascii="Times New Roman" w:eastAsia="Times New Roman" w:hAnsi="Times New Roman" w:cs="Times New Roman"/>
              </w:rPr>
            </w:pPr>
            <w:r>
              <w:rPr>
                <w:rFonts w:ascii="Times New Roman" w:eastAsia="Times New Roman" w:hAnsi="Times New Roman" w:cs="Times New Roman"/>
              </w:rPr>
              <w:t>Measured by placing the origin or pivot point of a clear plastic protractor at the junction of the two halves of the lower lip; a clear straightedge was placed on the lower margin of the left half of the lower lip; this edge and the pivot point intersected at the apex of the medial lip angle. The degree (to the nearest 1°) was read at the intersection of the straightedge with the curved edge of the protractor</w:t>
            </w:r>
            <w:r w:rsidR="0020598E">
              <w:rPr>
                <w:rFonts w:ascii="Times New Roman" w:eastAsia="Times New Roman" w:hAnsi="Times New Roman" w:cs="Times New Roman"/>
              </w:rPr>
              <w:t>; i</w:t>
            </w:r>
            <w:r>
              <w:rPr>
                <w:rFonts w:ascii="Times New Roman" w:eastAsia="Times New Roman" w:hAnsi="Times New Roman" w:cs="Times New Roman"/>
              </w:rPr>
              <w:t xml:space="preserve">f midposterior extensions were present on the lip (e.g. in </w:t>
            </w:r>
            <w:r>
              <w:rPr>
                <w:rFonts w:ascii="Times New Roman" w:eastAsia="Times New Roman" w:hAnsi="Times New Roman" w:cs="Times New Roman"/>
                <w:i/>
                <w:iCs/>
              </w:rPr>
              <w:t>M. robustum</w:t>
            </w:r>
            <w:r>
              <w:rPr>
                <w:rFonts w:ascii="Times New Roman" w:eastAsia="Times New Roman" w:hAnsi="Times New Roman" w:cs="Times New Roman"/>
              </w:rPr>
              <w:t>), the angle measured was that which would have been present had the extensions been absent</w:t>
            </w:r>
          </w:p>
        </w:tc>
      </w:tr>
      <w:tr w:rsidR="00E02B8D" w14:paraId="35D0E4D8" w14:textId="77777777">
        <w:trPr>
          <w:trHeight w:val="210"/>
        </w:trPr>
        <w:tc>
          <w:tcPr>
            <w:tcW w:w="3084" w:type="dxa"/>
            <w:tcBorders>
              <w:top w:val="nil"/>
              <w:left w:val="single" w:sz="4" w:space="0" w:color="000000"/>
              <w:bottom w:val="single" w:sz="4" w:space="0" w:color="000000"/>
              <w:right w:val="single" w:sz="4" w:space="0" w:color="000000"/>
            </w:tcBorders>
          </w:tcPr>
          <w:p w14:paraId="35D0E4D6"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Upper Lip Plicae</w:t>
            </w:r>
          </w:p>
        </w:tc>
        <w:tc>
          <w:tcPr>
            <w:tcW w:w="6275" w:type="dxa"/>
            <w:tcBorders>
              <w:top w:val="nil"/>
              <w:left w:val="nil"/>
              <w:bottom w:val="single" w:sz="4" w:space="0" w:color="000000"/>
              <w:right w:val="single" w:sz="4" w:space="0" w:color="000000"/>
            </w:tcBorders>
          </w:tcPr>
          <w:p w14:paraId="35D0E4D7" w14:textId="2E700DEE" w:rsidR="00E02B8D" w:rsidRDefault="00880E6A">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only the primary plicae, not secondary plicae which are generally shallow and branch from the former</w:t>
            </w:r>
          </w:p>
        </w:tc>
      </w:tr>
      <w:tr w:rsidR="00E02B8D" w14:paraId="35D0E4DB" w14:textId="77777777">
        <w:trPr>
          <w:trHeight w:val="210"/>
        </w:trPr>
        <w:tc>
          <w:tcPr>
            <w:tcW w:w="3084" w:type="dxa"/>
            <w:tcBorders>
              <w:top w:val="nil"/>
              <w:left w:val="single" w:sz="4" w:space="0" w:color="000000"/>
              <w:bottom w:val="single" w:sz="4" w:space="0" w:color="000000"/>
              <w:right w:val="single" w:sz="4" w:space="0" w:color="000000"/>
            </w:tcBorders>
          </w:tcPr>
          <w:p w14:paraId="35D0E4D9"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lastRenderedPageBreak/>
              <w:t>No. Lower Lip Plicae</w:t>
            </w:r>
          </w:p>
        </w:tc>
        <w:tc>
          <w:tcPr>
            <w:tcW w:w="6275" w:type="dxa"/>
            <w:tcBorders>
              <w:top w:val="nil"/>
              <w:left w:val="nil"/>
              <w:bottom w:val="single" w:sz="4" w:space="0" w:color="000000"/>
              <w:right w:val="single" w:sz="4" w:space="0" w:color="000000"/>
            </w:tcBorders>
          </w:tcPr>
          <w:p w14:paraId="35D0E4DA" w14:textId="6F6C47C4" w:rsidR="00E02B8D" w:rsidRDefault="00C92DFF">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ounts of only the primary plicae, not secondary plicae which are generally shallow and branch from the former</w:t>
            </w:r>
          </w:p>
        </w:tc>
      </w:tr>
      <w:tr w:rsidR="00E02B8D" w14:paraId="35D0E4DE" w14:textId="77777777">
        <w:trPr>
          <w:trHeight w:val="210"/>
        </w:trPr>
        <w:tc>
          <w:tcPr>
            <w:tcW w:w="3084" w:type="dxa"/>
            <w:tcBorders>
              <w:top w:val="nil"/>
              <w:left w:val="single" w:sz="4" w:space="0" w:color="000000"/>
              <w:bottom w:val="single" w:sz="4" w:space="0" w:color="000000"/>
              <w:right w:val="single" w:sz="4" w:space="0" w:color="000000"/>
            </w:tcBorders>
          </w:tcPr>
          <w:p w14:paraId="35D0E4DC"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Supraorbital Pores</w:t>
            </w:r>
          </w:p>
        </w:tc>
        <w:tc>
          <w:tcPr>
            <w:tcW w:w="6275" w:type="dxa"/>
            <w:tcBorders>
              <w:top w:val="nil"/>
              <w:left w:val="nil"/>
              <w:bottom w:val="single" w:sz="4" w:space="0" w:color="000000"/>
              <w:right w:val="single" w:sz="4" w:space="0" w:color="000000"/>
            </w:tcBorders>
          </w:tcPr>
          <w:p w14:paraId="35D0E4DD" w14:textId="437022BF" w:rsidR="00E02B8D" w:rsidRDefault="00C92DFF">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all the pores of the supraorbital canal (canal above the eye)</w:t>
            </w:r>
          </w:p>
        </w:tc>
      </w:tr>
      <w:tr w:rsidR="00E02B8D" w14:paraId="35D0E4E1" w14:textId="77777777">
        <w:trPr>
          <w:trHeight w:val="210"/>
        </w:trPr>
        <w:tc>
          <w:tcPr>
            <w:tcW w:w="3084" w:type="dxa"/>
            <w:tcBorders>
              <w:top w:val="nil"/>
              <w:left w:val="single" w:sz="4" w:space="0" w:color="000000"/>
              <w:bottom w:val="single" w:sz="4" w:space="0" w:color="000000"/>
              <w:right w:val="single" w:sz="4" w:space="0" w:color="000000"/>
            </w:tcBorders>
          </w:tcPr>
          <w:p w14:paraId="35D0E4DF"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Supratemporal Pores</w:t>
            </w:r>
          </w:p>
        </w:tc>
        <w:tc>
          <w:tcPr>
            <w:tcW w:w="6275" w:type="dxa"/>
            <w:tcBorders>
              <w:top w:val="nil"/>
              <w:left w:val="nil"/>
              <w:bottom w:val="nil"/>
              <w:right w:val="nil"/>
            </w:tcBorders>
          </w:tcPr>
          <w:p w14:paraId="35D0E4E0" w14:textId="348A61A6" w:rsidR="00E02B8D" w:rsidRDefault="00C92DFF">
            <w:pPr>
              <w:rPr>
                <w:rFonts w:ascii="Times New Roman" w:eastAsia="Times New Roman" w:hAnsi="Times New Roman" w:cs="Times New Roman"/>
                <w:color w:val="000000"/>
              </w:rPr>
            </w:pPr>
            <w:r>
              <w:rPr>
                <w:rFonts w:ascii="Times New Roman" w:eastAsia="Times New Roman" w:hAnsi="Times New Roman" w:cs="Times New Roman"/>
                <w:color w:val="000000"/>
              </w:rPr>
              <w:t>C</w:t>
            </w:r>
            <w:r w:rsidR="00000000">
              <w:rPr>
                <w:rFonts w:ascii="Times New Roman" w:eastAsia="Times New Roman" w:hAnsi="Times New Roman" w:cs="Times New Roman"/>
                <w:color w:val="000000"/>
              </w:rPr>
              <w:t>ount of all the pores of the supratemporal canal</w:t>
            </w:r>
          </w:p>
        </w:tc>
      </w:tr>
      <w:tr w:rsidR="00E02B8D" w14:paraId="35D0E4E4" w14:textId="77777777">
        <w:trPr>
          <w:trHeight w:val="157"/>
        </w:trPr>
        <w:tc>
          <w:tcPr>
            <w:tcW w:w="3084" w:type="dxa"/>
            <w:tcBorders>
              <w:top w:val="nil"/>
              <w:left w:val="single" w:sz="4" w:space="0" w:color="000000"/>
              <w:bottom w:val="single" w:sz="4" w:space="0" w:color="000000"/>
              <w:right w:val="single" w:sz="4" w:space="0" w:color="000000"/>
            </w:tcBorders>
          </w:tcPr>
          <w:p w14:paraId="35D0E4E2"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Postorbital Pores</w:t>
            </w:r>
          </w:p>
        </w:tc>
        <w:tc>
          <w:tcPr>
            <w:tcW w:w="6275" w:type="dxa"/>
            <w:tcBorders>
              <w:top w:val="single" w:sz="4" w:space="0" w:color="000000"/>
              <w:left w:val="nil"/>
              <w:bottom w:val="single" w:sz="4" w:space="0" w:color="000000"/>
              <w:right w:val="single" w:sz="4" w:space="0" w:color="000000"/>
            </w:tcBorders>
          </w:tcPr>
          <w:p w14:paraId="35D0E4E3"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of all the pores of the postorbital canal (the pored canal passing just posterior to the eye) from the supraorbital canal to the preopercular-mandibular canal</w:t>
            </w:r>
          </w:p>
        </w:tc>
      </w:tr>
      <w:tr w:rsidR="00E02B8D" w14:paraId="35D0E4E7" w14:textId="77777777">
        <w:trPr>
          <w:trHeight w:val="210"/>
        </w:trPr>
        <w:tc>
          <w:tcPr>
            <w:tcW w:w="3084" w:type="dxa"/>
            <w:tcBorders>
              <w:top w:val="nil"/>
              <w:left w:val="single" w:sz="4" w:space="0" w:color="000000"/>
              <w:bottom w:val="single" w:sz="4" w:space="0" w:color="000000"/>
              <w:right w:val="single" w:sz="4" w:space="0" w:color="000000"/>
            </w:tcBorders>
          </w:tcPr>
          <w:p w14:paraId="35D0E4E5"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Infraorbital Pores</w:t>
            </w:r>
          </w:p>
        </w:tc>
        <w:tc>
          <w:tcPr>
            <w:tcW w:w="6275" w:type="dxa"/>
            <w:tcBorders>
              <w:top w:val="nil"/>
              <w:left w:val="nil"/>
              <w:bottom w:val="single" w:sz="4" w:space="0" w:color="000000"/>
              <w:right w:val="single" w:sz="4" w:space="0" w:color="000000"/>
            </w:tcBorders>
          </w:tcPr>
          <w:p w14:paraId="35D0E4E6" w14:textId="6C4CAEEA"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of all the pores of the infraorbital canal (the pored canal passing just below the eye), including the postorbital canal</w:t>
            </w:r>
          </w:p>
        </w:tc>
      </w:tr>
      <w:tr w:rsidR="00E02B8D" w14:paraId="35D0E4EA" w14:textId="77777777">
        <w:trPr>
          <w:trHeight w:val="210"/>
        </w:trPr>
        <w:tc>
          <w:tcPr>
            <w:tcW w:w="3084" w:type="dxa"/>
            <w:tcBorders>
              <w:top w:val="nil"/>
              <w:left w:val="single" w:sz="4" w:space="0" w:color="000000"/>
              <w:bottom w:val="single" w:sz="4" w:space="0" w:color="000000"/>
              <w:right w:val="single" w:sz="4" w:space="0" w:color="000000"/>
            </w:tcBorders>
          </w:tcPr>
          <w:p w14:paraId="35D0E4E8"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No. Preopercular-Mandibular Pores</w:t>
            </w:r>
          </w:p>
        </w:tc>
        <w:tc>
          <w:tcPr>
            <w:tcW w:w="6275" w:type="dxa"/>
            <w:tcBorders>
              <w:top w:val="nil"/>
              <w:left w:val="nil"/>
              <w:bottom w:val="single" w:sz="4" w:space="0" w:color="000000"/>
              <w:right w:val="single" w:sz="4" w:space="0" w:color="000000"/>
            </w:tcBorders>
          </w:tcPr>
          <w:p w14:paraId="35D0E4E9" w14:textId="0F4C2C7A"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Count of all the pores of the preopercular-mandibular canal (the pored canal coursing along the posterior margin of the preopercle to the ventral edge of the mandible, terminating on the chin)</w:t>
            </w:r>
          </w:p>
        </w:tc>
      </w:tr>
      <w:tr w:rsidR="00E02B8D" w14:paraId="35D0E4ED" w14:textId="77777777">
        <w:trPr>
          <w:trHeight w:val="210"/>
        </w:trPr>
        <w:tc>
          <w:tcPr>
            <w:tcW w:w="3084" w:type="dxa"/>
            <w:tcBorders>
              <w:top w:val="nil"/>
              <w:left w:val="single" w:sz="4" w:space="0" w:color="000000"/>
              <w:bottom w:val="single" w:sz="4" w:space="0" w:color="000000"/>
              <w:right w:val="single" w:sz="4" w:space="0" w:color="000000"/>
            </w:tcBorders>
            <w:shd w:val="clear" w:color="auto" w:fill="D9D9D9"/>
          </w:tcPr>
          <w:p w14:paraId="35D0E4EB" w14:textId="77777777" w:rsidR="00E02B8D" w:rsidRPr="005F13BE" w:rsidRDefault="00000000">
            <w:pPr>
              <w:rPr>
                <w:rFonts w:ascii="Times New Roman" w:eastAsia="Times New Roman" w:hAnsi="Times New Roman" w:cs="Times New Roman"/>
                <w:b/>
                <w:bCs/>
                <w:color w:val="000000"/>
              </w:rPr>
            </w:pPr>
            <w:r w:rsidRPr="005F13BE">
              <w:rPr>
                <w:rFonts w:ascii="Times New Roman" w:eastAsia="Times New Roman" w:hAnsi="Times New Roman" w:cs="Times New Roman"/>
                <w:b/>
                <w:bCs/>
                <w:color w:val="000000"/>
              </w:rPr>
              <w:t xml:space="preserve">Morphometric Characters </w:t>
            </w:r>
            <w:r w:rsidRPr="005F13BE">
              <w:rPr>
                <w:rFonts w:ascii="Times New Roman" w:eastAsia="Times New Roman" w:hAnsi="Times New Roman" w:cs="Times New Roman"/>
                <w:b/>
                <w:bCs/>
              </w:rPr>
              <w:t>(</w:t>
            </w:r>
            <w:r w:rsidRPr="005F13BE">
              <w:rPr>
                <w:rFonts w:ascii="Times New Roman" w:eastAsia="Times New Roman" w:hAnsi="Times New Roman" w:cs="Times New Roman"/>
                <w:b/>
                <w:bCs/>
                <w:color w:val="000000"/>
              </w:rPr>
              <w:t>mm)</w:t>
            </w:r>
          </w:p>
        </w:tc>
        <w:tc>
          <w:tcPr>
            <w:tcW w:w="6275" w:type="dxa"/>
            <w:tcBorders>
              <w:top w:val="nil"/>
              <w:left w:val="nil"/>
              <w:bottom w:val="single" w:sz="4" w:space="0" w:color="000000"/>
              <w:right w:val="single" w:sz="4" w:space="0" w:color="000000"/>
            </w:tcBorders>
            <w:shd w:val="clear" w:color="auto" w:fill="D9D9D9"/>
          </w:tcPr>
          <w:p w14:paraId="35D0E4EC"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02B8D" w14:paraId="35D0E4F0" w14:textId="77777777">
        <w:trPr>
          <w:trHeight w:val="210"/>
        </w:trPr>
        <w:tc>
          <w:tcPr>
            <w:tcW w:w="3084" w:type="dxa"/>
            <w:tcBorders>
              <w:top w:val="nil"/>
              <w:left w:val="single" w:sz="4" w:space="0" w:color="000000"/>
              <w:bottom w:val="single" w:sz="4" w:space="0" w:color="000000"/>
              <w:right w:val="single" w:sz="4" w:space="0" w:color="000000"/>
            </w:tcBorders>
          </w:tcPr>
          <w:p w14:paraId="35D0E4EE"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Standard Length</w:t>
            </w:r>
          </w:p>
        </w:tc>
        <w:tc>
          <w:tcPr>
            <w:tcW w:w="6275" w:type="dxa"/>
            <w:tcBorders>
              <w:top w:val="nil"/>
              <w:left w:val="nil"/>
              <w:bottom w:val="single" w:sz="4" w:space="0" w:color="000000"/>
              <w:right w:val="single" w:sz="4" w:space="0" w:color="000000"/>
            </w:tcBorders>
          </w:tcPr>
          <w:p w14:paraId="35D0E4EF" w14:textId="5184EE87" w:rsidR="00E02B8D" w:rsidRDefault="00361E4C">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Measured </w:t>
            </w:r>
            <w:r w:rsidR="00000000">
              <w:rPr>
                <w:rFonts w:ascii="Times New Roman" w:eastAsia="Times New Roman" w:hAnsi="Times New Roman" w:cs="Times New Roman"/>
                <w:color w:val="000000"/>
              </w:rPr>
              <w:t xml:space="preserve">from the </w:t>
            </w:r>
            <w:r w:rsidR="006C3DA0">
              <w:rPr>
                <w:rFonts w:ascii="Times New Roman" w:eastAsia="Times New Roman" w:hAnsi="Times New Roman" w:cs="Times New Roman"/>
                <w:color w:val="000000"/>
              </w:rPr>
              <w:t>anterior</w:t>
            </w:r>
            <w:r w:rsidR="00774311">
              <w:rPr>
                <w:rFonts w:ascii="Times New Roman" w:eastAsia="Times New Roman" w:hAnsi="Times New Roman" w:cs="Times New Roman"/>
                <w:color w:val="000000"/>
              </w:rPr>
              <w:t>-</w:t>
            </w:r>
            <w:r w:rsidR="006C3DA0">
              <w:rPr>
                <w:rFonts w:ascii="Times New Roman" w:eastAsia="Times New Roman" w:hAnsi="Times New Roman" w:cs="Times New Roman"/>
                <w:color w:val="000000"/>
              </w:rPr>
              <w:t>most</w:t>
            </w:r>
            <w:r w:rsidR="00000000">
              <w:rPr>
                <w:rFonts w:ascii="Times New Roman" w:eastAsia="Times New Roman" w:hAnsi="Times New Roman" w:cs="Times New Roman"/>
                <w:color w:val="000000"/>
              </w:rPr>
              <w:t xml:space="preserve"> point to the posterior end of the bony caudal fin base (hypural plate)</w:t>
            </w:r>
          </w:p>
        </w:tc>
      </w:tr>
      <w:tr w:rsidR="00E02B8D" w14:paraId="35D0E4F3" w14:textId="77777777">
        <w:trPr>
          <w:trHeight w:val="210"/>
        </w:trPr>
        <w:tc>
          <w:tcPr>
            <w:tcW w:w="3084" w:type="dxa"/>
            <w:tcBorders>
              <w:top w:val="nil"/>
              <w:left w:val="single" w:sz="4" w:space="0" w:color="000000"/>
              <w:bottom w:val="single" w:sz="4" w:space="0" w:color="000000"/>
              <w:right w:val="single" w:sz="4" w:space="0" w:color="000000"/>
            </w:tcBorders>
          </w:tcPr>
          <w:p w14:paraId="35D0E4F1"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Total Length</w:t>
            </w:r>
          </w:p>
        </w:tc>
        <w:tc>
          <w:tcPr>
            <w:tcW w:w="6275" w:type="dxa"/>
            <w:tcBorders>
              <w:top w:val="nil"/>
              <w:left w:val="nil"/>
              <w:bottom w:val="single" w:sz="4" w:space="0" w:color="000000"/>
              <w:right w:val="single" w:sz="4" w:space="0" w:color="000000"/>
            </w:tcBorders>
          </w:tcPr>
          <w:p w14:paraId="35D0E4F2" w14:textId="2788F35E" w:rsidR="00E02B8D" w:rsidRDefault="006C3DA0">
            <w:pPr>
              <w:rPr>
                <w:rFonts w:ascii="Times New Roman" w:eastAsia="Times New Roman" w:hAnsi="Times New Roman" w:cs="Times New Roman"/>
                <w:color w:val="000000"/>
              </w:rPr>
            </w:pPr>
            <w:r>
              <w:rPr>
                <w:rFonts w:ascii="Times New Roman" w:eastAsia="Times New Roman" w:hAnsi="Times New Roman" w:cs="Times New Roman"/>
                <w:color w:val="000000"/>
              </w:rPr>
              <w:t>Measur</w:t>
            </w:r>
            <w:r w:rsidR="00000000">
              <w:rPr>
                <w:rFonts w:ascii="Times New Roman" w:eastAsia="Times New Roman" w:hAnsi="Times New Roman" w:cs="Times New Roman"/>
                <w:color w:val="000000"/>
              </w:rPr>
              <w:t>e</w:t>
            </w:r>
            <w:r>
              <w:rPr>
                <w:rFonts w:ascii="Times New Roman" w:eastAsia="Times New Roman" w:hAnsi="Times New Roman" w:cs="Times New Roman"/>
                <w:color w:val="000000"/>
              </w:rPr>
              <w:t>d</w:t>
            </w:r>
            <w:r w:rsidR="00000000">
              <w:rPr>
                <w:rFonts w:ascii="Times New Roman" w:eastAsia="Times New Roman" w:hAnsi="Times New Roman" w:cs="Times New Roman"/>
                <w:color w:val="000000"/>
              </w:rPr>
              <w:t xml:space="preserve"> from the </w:t>
            </w:r>
            <w:r>
              <w:rPr>
                <w:rFonts w:ascii="Times New Roman" w:eastAsia="Times New Roman" w:hAnsi="Times New Roman" w:cs="Times New Roman"/>
                <w:color w:val="000000"/>
              </w:rPr>
              <w:t>anterior</w:t>
            </w:r>
            <w:r w:rsidR="00C657E1">
              <w:rPr>
                <w:rFonts w:ascii="Times New Roman" w:eastAsia="Times New Roman" w:hAnsi="Times New Roman" w:cs="Times New Roman"/>
                <w:color w:val="000000"/>
              </w:rPr>
              <w:t>-</w:t>
            </w:r>
            <w:r>
              <w:rPr>
                <w:rFonts w:ascii="Times New Roman" w:eastAsia="Times New Roman" w:hAnsi="Times New Roman" w:cs="Times New Roman"/>
                <w:color w:val="000000"/>
              </w:rPr>
              <w:t>most</w:t>
            </w:r>
            <w:r w:rsidR="00000000">
              <w:rPr>
                <w:rFonts w:ascii="Times New Roman" w:eastAsia="Times New Roman" w:hAnsi="Times New Roman" w:cs="Times New Roman"/>
                <w:color w:val="000000"/>
              </w:rPr>
              <w:t xml:space="preserve"> point to the </w:t>
            </w:r>
            <w:r>
              <w:rPr>
                <w:rFonts w:ascii="Times New Roman" w:eastAsia="Times New Roman" w:hAnsi="Times New Roman" w:cs="Times New Roman"/>
                <w:color w:val="000000"/>
              </w:rPr>
              <w:t>posterior most</w:t>
            </w:r>
            <w:r w:rsidR="00000000">
              <w:rPr>
                <w:rFonts w:ascii="Times New Roman" w:eastAsia="Times New Roman" w:hAnsi="Times New Roman" w:cs="Times New Roman"/>
                <w:color w:val="000000"/>
              </w:rPr>
              <w:t xml:space="preserve"> point of the longest caudal fin lobe</w:t>
            </w:r>
          </w:p>
        </w:tc>
      </w:tr>
      <w:tr w:rsidR="00E02B8D" w14:paraId="35D0E4F6" w14:textId="77777777">
        <w:trPr>
          <w:trHeight w:val="210"/>
        </w:trPr>
        <w:tc>
          <w:tcPr>
            <w:tcW w:w="3084" w:type="dxa"/>
            <w:tcBorders>
              <w:top w:val="nil"/>
              <w:left w:val="single" w:sz="4" w:space="0" w:color="000000"/>
              <w:bottom w:val="single" w:sz="4" w:space="0" w:color="000000"/>
              <w:right w:val="single" w:sz="4" w:space="0" w:color="000000"/>
            </w:tcBorders>
          </w:tcPr>
          <w:p w14:paraId="35D0E4F4"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Snout Length</w:t>
            </w:r>
          </w:p>
        </w:tc>
        <w:tc>
          <w:tcPr>
            <w:tcW w:w="6275" w:type="dxa"/>
            <w:tcBorders>
              <w:top w:val="nil"/>
              <w:left w:val="nil"/>
              <w:bottom w:val="single" w:sz="4" w:space="0" w:color="000000"/>
              <w:right w:val="single" w:sz="4" w:space="0" w:color="000000"/>
            </w:tcBorders>
          </w:tcPr>
          <w:p w14:paraId="35D0E4F5" w14:textId="61E2AD71" w:rsidR="00E02B8D" w:rsidRDefault="006C3DA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Measured</w:t>
            </w:r>
            <w:r w:rsidR="00000000">
              <w:rPr>
                <w:rFonts w:ascii="Times New Roman" w:eastAsia="Times New Roman" w:hAnsi="Times New Roman" w:cs="Times New Roman"/>
                <w:color w:val="000000"/>
              </w:rPr>
              <w:t xml:space="preserve"> from the </w:t>
            </w:r>
            <w:r>
              <w:rPr>
                <w:rFonts w:ascii="Times New Roman" w:eastAsia="Times New Roman" w:hAnsi="Times New Roman" w:cs="Times New Roman"/>
                <w:color w:val="000000"/>
              </w:rPr>
              <w:t>anterior</w:t>
            </w:r>
            <w:r w:rsidR="00C657E1">
              <w:rPr>
                <w:rFonts w:ascii="Times New Roman" w:eastAsia="Times New Roman" w:hAnsi="Times New Roman" w:cs="Times New Roman"/>
                <w:color w:val="000000"/>
              </w:rPr>
              <w:t>-</w:t>
            </w:r>
            <w:r>
              <w:rPr>
                <w:rFonts w:ascii="Times New Roman" w:eastAsia="Times New Roman" w:hAnsi="Times New Roman" w:cs="Times New Roman"/>
                <w:color w:val="000000"/>
              </w:rPr>
              <w:t>most</w:t>
            </w:r>
            <w:r w:rsidR="00000000">
              <w:rPr>
                <w:rFonts w:ascii="Times New Roman" w:eastAsia="Times New Roman" w:hAnsi="Times New Roman" w:cs="Times New Roman"/>
                <w:color w:val="000000"/>
              </w:rPr>
              <w:t xml:space="preserve"> point on the snout to the nearest anterior margin of the bony orbital rim</w:t>
            </w:r>
          </w:p>
        </w:tc>
      </w:tr>
      <w:tr w:rsidR="00E02B8D" w14:paraId="35D0E4F9" w14:textId="77777777">
        <w:trPr>
          <w:trHeight w:val="210"/>
        </w:trPr>
        <w:tc>
          <w:tcPr>
            <w:tcW w:w="3084" w:type="dxa"/>
            <w:tcBorders>
              <w:top w:val="nil"/>
              <w:left w:val="single" w:sz="4" w:space="0" w:color="000000"/>
              <w:bottom w:val="single" w:sz="4" w:space="0" w:color="000000"/>
              <w:right w:val="single" w:sz="4" w:space="0" w:color="000000"/>
            </w:tcBorders>
          </w:tcPr>
          <w:p w14:paraId="35D0E4F7"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Postorbital Length</w:t>
            </w:r>
          </w:p>
        </w:tc>
        <w:tc>
          <w:tcPr>
            <w:tcW w:w="6275" w:type="dxa"/>
            <w:tcBorders>
              <w:top w:val="nil"/>
              <w:left w:val="nil"/>
              <w:bottom w:val="single" w:sz="4" w:space="0" w:color="000000"/>
              <w:right w:val="single" w:sz="4" w:space="0" w:color="000000"/>
            </w:tcBorders>
          </w:tcPr>
          <w:p w14:paraId="35D0E4F8" w14:textId="28C2553C" w:rsidR="00E02B8D" w:rsidRDefault="00970832">
            <w:pPr>
              <w:rPr>
                <w:rFonts w:ascii="Times New Roman" w:eastAsia="Times New Roman" w:hAnsi="Times New Roman" w:cs="Times New Roman"/>
                <w:color w:val="000000"/>
              </w:rPr>
            </w:pPr>
            <w:r>
              <w:rPr>
                <w:rFonts w:ascii="Times New Roman" w:eastAsia="Times New Roman" w:hAnsi="Times New Roman" w:cs="Times New Roman"/>
                <w:color w:val="000000"/>
              </w:rPr>
              <w:t>Measured</w:t>
            </w:r>
            <w:r w:rsidR="00000000">
              <w:rPr>
                <w:rFonts w:ascii="Times New Roman" w:eastAsia="Times New Roman" w:hAnsi="Times New Roman" w:cs="Times New Roman"/>
                <w:color w:val="000000"/>
              </w:rPr>
              <w:t xml:space="preserve"> from the </w:t>
            </w:r>
            <w:r>
              <w:rPr>
                <w:rFonts w:ascii="Times New Roman" w:eastAsia="Times New Roman" w:hAnsi="Times New Roman" w:cs="Times New Roman"/>
                <w:color w:val="000000"/>
              </w:rPr>
              <w:t>posterior</w:t>
            </w:r>
            <w:r w:rsidR="00C657E1">
              <w:rPr>
                <w:rFonts w:ascii="Times New Roman" w:eastAsia="Times New Roman" w:hAnsi="Times New Roman" w:cs="Times New Roman"/>
                <w:color w:val="000000"/>
              </w:rPr>
              <w:t>-</w:t>
            </w:r>
            <w:r>
              <w:rPr>
                <w:rFonts w:ascii="Times New Roman" w:eastAsia="Times New Roman" w:hAnsi="Times New Roman" w:cs="Times New Roman"/>
                <w:color w:val="000000"/>
              </w:rPr>
              <w:t>most</w:t>
            </w:r>
            <w:r w:rsidR="00000000">
              <w:rPr>
                <w:rFonts w:ascii="Times New Roman" w:eastAsia="Times New Roman" w:hAnsi="Times New Roman" w:cs="Times New Roman"/>
                <w:color w:val="000000"/>
              </w:rPr>
              <w:t xml:space="preserve"> point on the bony orbital rim to the </w:t>
            </w:r>
            <w:r>
              <w:rPr>
                <w:rFonts w:ascii="Times New Roman" w:eastAsia="Times New Roman" w:hAnsi="Times New Roman" w:cs="Times New Roman"/>
                <w:color w:val="000000"/>
              </w:rPr>
              <w:t>posterior most</w:t>
            </w:r>
            <w:r w:rsidR="00000000">
              <w:rPr>
                <w:rFonts w:ascii="Times New Roman" w:eastAsia="Times New Roman" w:hAnsi="Times New Roman" w:cs="Times New Roman"/>
                <w:color w:val="000000"/>
              </w:rPr>
              <w:t xml:space="preserve"> fleshy margin of the opercle (excluding the opercular membrane)</w:t>
            </w:r>
          </w:p>
        </w:tc>
      </w:tr>
      <w:tr w:rsidR="00E02B8D" w14:paraId="35D0E4FC" w14:textId="77777777">
        <w:trPr>
          <w:trHeight w:val="210"/>
        </w:trPr>
        <w:tc>
          <w:tcPr>
            <w:tcW w:w="3084" w:type="dxa"/>
            <w:tcBorders>
              <w:top w:val="nil"/>
              <w:left w:val="single" w:sz="4" w:space="0" w:color="000000"/>
              <w:bottom w:val="single" w:sz="4" w:space="0" w:color="000000"/>
              <w:right w:val="single" w:sz="4" w:space="0" w:color="000000"/>
            </w:tcBorders>
          </w:tcPr>
          <w:p w14:paraId="35D0E4FA"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Head Length</w:t>
            </w:r>
          </w:p>
        </w:tc>
        <w:tc>
          <w:tcPr>
            <w:tcW w:w="6275" w:type="dxa"/>
            <w:tcBorders>
              <w:top w:val="nil"/>
              <w:left w:val="nil"/>
              <w:bottom w:val="single" w:sz="4" w:space="0" w:color="000000"/>
              <w:right w:val="single" w:sz="4" w:space="0" w:color="000000"/>
            </w:tcBorders>
          </w:tcPr>
          <w:p w14:paraId="35D0E4FB" w14:textId="42121F3F" w:rsidR="00E02B8D" w:rsidRDefault="00970832">
            <w:pPr>
              <w:rPr>
                <w:rFonts w:ascii="Times New Roman" w:eastAsia="Times New Roman" w:hAnsi="Times New Roman" w:cs="Times New Roman"/>
                <w:color w:val="000000"/>
              </w:rPr>
            </w:pPr>
            <w:r>
              <w:rPr>
                <w:rFonts w:ascii="Times New Roman" w:eastAsia="Times New Roman" w:hAnsi="Times New Roman" w:cs="Times New Roman"/>
                <w:color w:val="000000"/>
              </w:rPr>
              <w:t>Measured</w:t>
            </w:r>
            <w:r w:rsidR="00000000">
              <w:rPr>
                <w:rFonts w:ascii="Times New Roman" w:eastAsia="Times New Roman" w:hAnsi="Times New Roman" w:cs="Times New Roman"/>
                <w:color w:val="000000"/>
              </w:rPr>
              <w:t xml:space="preserve"> from the </w:t>
            </w:r>
            <w:r>
              <w:rPr>
                <w:rFonts w:ascii="Times New Roman" w:eastAsia="Times New Roman" w:hAnsi="Times New Roman" w:cs="Times New Roman"/>
                <w:color w:val="000000"/>
              </w:rPr>
              <w:t>anterior most</w:t>
            </w:r>
            <w:r w:rsidR="00000000">
              <w:rPr>
                <w:rFonts w:ascii="Times New Roman" w:eastAsia="Times New Roman" w:hAnsi="Times New Roman" w:cs="Times New Roman"/>
                <w:color w:val="000000"/>
              </w:rPr>
              <w:t xml:space="preserve"> point of the head (excluding the lips) to the opercular membrane (excluding the opercular membrane)</w:t>
            </w:r>
          </w:p>
        </w:tc>
      </w:tr>
      <w:tr w:rsidR="00E02B8D" w14:paraId="35D0E4FF" w14:textId="77777777">
        <w:trPr>
          <w:trHeight w:val="210"/>
        </w:trPr>
        <w:tc>
          <w:tcPr>
            <w:tcW w:w="3084" w:type="dxa"/>
            <w:tcBorders>
              <w:top w:val="single" w:sz="4" w:space="0" w:color="000000"/>
              <w:left w:val="single" w:sz="4" w:space="0" w:color="000000"/>
              <w:bottom w:val="single" w:sz="4" w:space="0" w:color="000000"/>
              <w:right w:val="single" w:sz="4" w:space="0" w:color="000000"/>
            </w:tcBorders>
          </w:tcPr>
          <w:p w14:paraId="35D0E4FD"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Caudal Peduncle Length</w:t>
            </w:r>
          </w:p>
        </w:tc>
        <w:tc>
          <w:tcPr>
            <w:tcW w:w="6275" w:type="dxa"/>
            <w:tcBorders>
              <w:top w:val="single" w:sz="4" w:space="0" w:color="000000"/>
              <w:left w:val="nil"/>
              <w:bottom w:val="single" w:sz="4" w:space="0" w:color="000000"/>
              <w:right w:val="single" w:sz="4" w:space="0" w:color="000000"/>
            </w:tcBorders>
          </w:tcPr>
          <w:p w14:paraId="35D0E4FE" w14:textId="11451E17" w:rsidR="00E02B8D" w:rsidRDefault="00FC4438">
            <w:pPr>
              <w:rPr>
                <w:rFonts w:ascii="Times New Roman" w:eastAsia="Times New Roman" w:hAnsi="Times New Roman" w:cs="Times New Roman"/>
                <w:color w:val="000000"/>
              </w:rPr>
            </w:pPr>
            <w:r>
              <w:rPr>
                <w:rFonts w:ascii="Times New Roman" w:eastAsia="Times New Roman" w:hAnsi="Times New Roman" w:cs="Times New Roman"/>
                <w:color w:val="000000"/>
              </w:rPr>
              <w:t>Measured</w:t>
            </w:r>
            <w:r w:rsidR="00000000">
              <w:rPr>
                <w:rFonts w:ascii="Times New Roman" w:eastAsia="Times New Roman" w:hAnsi="Times New Roman" w:cs="Times New Roman"/>
                <w:color w:val="000000"/>
              </w:rPr>
              <w:t xml:space="preserve"> from the posterior end of the anal-fin base to mid-height of the hypural plate</w:t>
            </w:r>
          </w:p>
        </w:tc>
      </w:tr>
      <w:tr w:rsidR="00E02B8D" w14:paraId="35D0E502" w14:textId="77777777">
        <w:trPr>
          <w:trHeight w:val="210"/>
        </w:trPr>
        <w:tc>
          <w:tcPr>
            <w:tcW w:w="3084" w:type="dxa"/>
            <w:tcBorders>
              <w:top w:val="nil"/>
              <w:left w:val="single" w:sz="4" w:space="0" w:color="000000"/>
              <w:bottom w:val="single" w:sz="4" w:space="0" w:color="000000"/>
              <w:right w:val="single" w:sz="4" w:space="0" w:color="000000"/>
            </w:tcBorders>
          </w:tcPr>
          <w:p w14:paraId="35D0E500"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Caudal Peduncle Depth</w:t>
            </w:r>
          </w:p>
        </w:tc>
        <w:tc>
          <w:tcPr>
            <w:tcW w:w="6275" w:type="dxa"/>
            <w:tcBorders>
              <w:top w:val="nil"/>
              <w:left w:val="nil"/>
              <w:bottom w:val="single" w:sz="4" w:space="0" w:color="000000"/>
              <w:right w:val="single" w:sz="4" w:space="0" w:color="000000"/>
            </w:tcBorders>
          </w:tcPr>
          <w:p w14:paraId="35D0E501" w14:textId="0A306BFD" w:rsidR="00E02B8D" w:rsidRDefault="00FC4438">
            <w:pPr>
              <w:rPr>
                <w:rFonts w:ascii="Times New Roman" w:eastAsia="Times New Roman" w:hAnsi="Times New Roman" w:cs="Times New Roman"/>
                <w:color w:val="000000"/>
              </w:rPr>
            </w:pPr>
            <w:r>
              <w:rPr>
                <w:rFonts w:ascii="Times New Roman" w:eastAsia="Times New Roman" w:hAnsi="Times New Roman" w:cs="Times New Roman"/>
                <w:color w:val="000000"/>
              </w:rPr>
              <w:t>Measured at the l</w:t>
            </w:r>
            <w:r w:rsidR="00000000">
              <w:rPr>
                <w:rFonts w:ascii="Times New Roman" w:eastAsia="Times New Roman" w:hAnsi="Times New Roman" w:cs="Times New Roman"/>
                <w:color w:val="000000"/>
              </w:rPr>
              <w:t>east depth of the caudal peduncle</w:t>
            </w:r>
          </w:p>
        </w:tc>
      </w:tr>
      <w:tr w:rsidR="00E02B8D" w14:paraId="35D0E505" w14:textId="77777777">
        <w:trPr>
          <w:trHeight w:val="210"/>
        </w:trPr>
        <w:tc>
          <w:tcPr>
            <w:tcW w:w="3084" w:type="dxa"/>
            <w:tcBorders>
              <w:top w:val="nil"/>
              <w:left w:val="single" w:sz="4" w:space="0" w:color="000000"/>
              <w:bottom w:val="single" w:sz="4" w:space="0" w:color="000000"/>
              <w:right w:val="single" w:sz="4" w:space="0" w:color="000000"/>
            </w:tcBorders>
          </w:tcPr>
          <w:p w14:paraId="35D0E503"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Body Depth at Dorsal-Fin Origin</w:t>
            </w:r>
          </w:p>
        </w:tc>
        <w:tc>
          <w:tcPr>
            <w:tcW w:w="6275" w:type="dxa"/>
            <w:tcBorders>
              <w:top w:val="nil"/>
              <w:left w:val="nil"/>
              <w:bottom w:val="single" w:sz="4" w:space="0" w:color="000000"/>
              <w:right w:val="single" w:sz="4" w:space="0" w:color="000000"/>
            </w:tcBorders>
          </w:tcPr>
          <w:p w14:paraId="35D0E504" w14:textId="35AFA427" w:rsidR="00E02B8D" w:rsidRDefault="00FC4438">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vertically at the level of the dorsal-fin origin</w:t>
            </w:r>
          </w:p>
        </w:tc>
      </w:tr>
      <w:tr w:rsidR="00E02B8D" w14:paraId="35D0E508" w14:textId="77777777">
        <w:trPr>
          <w:trHeight w:val="210"/>
        </w:trPr>
        <w:tc>
          <w:tcPr>
            <w:tcW w:w="3084" w:type="dxa"/>
            <w:tcBorders>
              <w:top w:val="nil"/>
              <w:left w:val="single" w:sz="4" w:space="0" w:color="000000"/>
              <w:bottom w:val="single" w:sz="4" w:space="0" w:color="000000"/>
              <w:right w:val="single" w:sz="4" w:space="0" w:color="000000"/>
            </w:tcBorders>
          </w:tcPr>
          <w:p w14:paraId="35D0E506"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Head Depth at Occiput</w:t>
            </w:r>
          </w:p>
        </w:tc>
        <w:tc>
          <w:tcPr>
            <w:tcW w:w="6275" w:type="dxa"/>
            <w:tcBorders>
              <w:top w:val="nil"/>
              <w:left w:val="nil"/>
              <w:bottom w:val="single" w:sz="4" w:space="0" w:color="000000"/>
              <w:right w:val="single" w:sz="4" w:space="0" w:color="000000"/>
            </w:tcBorders>
          </w:tcPr>
          <w:p w14:paraId="35D0E507" w14:textId="7176AFC7" w:rsidR="00E02B8D" w:rsidRDefault="00A12E7B">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vertically at the occiput (the posterodorsal portion of head, immediately anterior to the nape)</w:t>
            </w:r>
          </w:p>
        </w:tc>
      </w:tr>
      <w:tr w:rsidR="00E02B8D" w14:paraId="35D0E50B" w14:textId="77777777">
        <w:trPr>
          <w:trHeight w:val="210"/>
        </w:trPr>
        <w:tc>
          <w:tcPr>
            <w:tcW w:w="3084" w:type="dxa"/>
            <w:tcBorders>
              <w:top w:val="nil"/>
              <w:left w:val="single" w:sz="4" w:space="0" w:color="000000"/>
              <w:bottom w:val="single" w:sz="4" w:space="0" w:color="000000"/>
              <w:right w:val="single" w:sz="4" w:space="0" w:color="000000"/>
            </w:tcBorders>
          </w:tcPr>
          <w:p w14:paraId="35D0E509"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Body Width</w:t>
            </w:r>
          </w:p>
        </w:tc>
        <w:tc>
          <w:tcPr>
            <w:tcW w:w="6275" w:type="dxa"/>
            <w:tcBorders>
              <w:top w:val="nil"/>
              <w:left w:val="nil"/>
              <w:bottom w:val="single" w:sz="4" w:space="0" w:color="000000"/>
              <w:right w:val="single" w:sz="4" w:space="0" w:color="000000"/>
            </w:tcBorders>
          </w:tcPr>
          <w:p w14:paraId="35D0E50A" w14:textId="4FAB4904" w:rsidR="00E02B8D" w:rsidRDefault="00A12E7B">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at the greatest width of the body</w:t>
            </w:r>
          </w:p>
        </w:tc>
      </w:tr>
      <w:tr w:rsidR="00E02B8D" w14:paraId="35D0E50E" w14:textId="77777777">
        <w:trPr>
          <w:trHeight w:val="210"/>
        </w:trPr>
        <w:tc>
          <w:tcPr>
            <w:tcW w:w="3084" w:type="dxa"/>
            <w:tcBorders>
              <w:top w:val="nil"/>
              <w:left w:val="single" w:sz="4" w:space="0" w:color="000000"/>
              <w:bottom w:val="single" w:sz="4" w:space="0" w:color="000000"/>
              <w:right w:val="single" w:sz="4" w:space="0" w:color="000000"/>
            </w:tcBorders>
          </w:tcPr>
          <w:p w14:paraId="35D0E50C"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Head Width</w:t>
            </w:r>
          </w:p>
        </w:tc>
        <w:tc>
          <w:tcPr>
            <w:tcW w:w="6275" w:type="dxa"/>
            <w:tcBorders>
              <w:top w:val="nil"/>
              <w:left w:val="nil"/>
              <w:bottom w:val="single" w:sz="4" w:space="0" w:color="000000"/>
              <w:right w:val="single" w:sz="4" w:space="0" w:color="000000"/>
            </w:tcBorders>
          </w:tcPr>
          <w:p w14:paraId="35D0E50D" w14:textId="27537CD0" w:rsidR="00E02B8D" w:rsidRDefault="00A12E7B">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at the greatest width of the head</w:t>
            </w:r>
          </w:p>
        </w:tc>
      </w:tr>
      <w:tr w:rsidR="00E02B8D" w14:paraId="35D0E511" w14:textId="77777777">
        <w:trPr>
          <w:trHeight w:val="209"/>
        </w:trPr>
        <w:tc>
          <w:tcPr>
            <w:tcW w:w="3084" w:type="dxa"/>
            <w:tcBorders>
              <w:top w:val="nil"/>
              <w:left w:val="single" w:sz="4" w:space="0" w:color="000000"/>
              <w:bottom w:val="single" w:sz="4" w:space="0" w:color="000000"/>
              <w:right w:val="single" w:sz="4" w:space="0" w:color="000000"/>
            </w:tcBorders>
          </w:tcPr>
          <w:p w14:paraId="35D0E50F"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Interorbital Width</w:t>
            </w:r>
          </w:p>
        </w:tc>
        <w:tc>
          <w:tcPr>
            <w:tcW w:w="6275" w:type="dxa"/>
            <w:tcBorders>
              <w:top w:val="nil"/>
              <w:left w:val="nil"/>
              <w:bottom w:val="single" w:sz="4" w:space="0" w:color="000000"/>
              <w:right w:val="single" w:sz="4" w:space="0" w:color="000000"/>
            </w:tcBorders>
          </w:tcPr>
          <w:p w14:paraId="35D0E510" w14:textId="7E664551" w:rsidR="00E02B8D" w:rsidRDefault="001E53A7">
            <w:pPr>
              <w:rPr>
                <w:rFonts w:ascii="Times New Roman" w:eastAsia="Times New Roman" w:hAnsi="Times New Roman" w:cs="Times New Roman"/>
                <w:color w:val="000000"/>
              </w:rPr>
            </w:pPr>
            <w:r>
              <w:rPr>
                <w:rFonts w:ascii="Times New Roman" w:eastAsia="Times New Roman" w:hAnsi="Times New Roman" w:cs="Times New Roman"/>
                <w:color w:val="000000"/>
              </w:rPr>
              <w:t>Measured</w:t>
            </w:r>
            <w:r w:rsidR="00000000">
              <w:rPr>
                <w:rFonts w:ascii="Times New Roman" w:eastAsia="Times New Roman" w:hAnsi="Times New Roman" w:cs="Times New Roman"/>
                <w:color w:val="000000"/>
              </w:rPr>
              <w:t xml:space="preserve"> on top of the head between the bony orbital rims</w:t>
            </w:r>
          </w:p>
        </w:tc>
      </w:tr>
      <w:tr w:rsidR="00E02B8D" w14:paraId="35D0E514" w14:textId="77777777">
        <w:trPr>
          <w:trHeight w:val="210"/>
        </w:trPr>
        <w:tc>
          <w:tcPr>
            <w:tcW w:w="3084" w:type="dxa"/>
            <w:tcBorders>
              <w:top w:val="nil"/>
              <w:left w:val="single" w:sz="4" w:space="0" w:color="000000"/>
              <w:bottom w:val="single" w:sz="4" w:space="0" w:color="000000"/>
              <w:right w:val="single" w:sz="4" w:space="0" w:color="000000"/>
            </w:tcBorders>
          </w:tcPr>
          <w:p w14:paraId="35D0E512" w14:textId="77777777" w:rsidR="00E02B8D" w:rsidRPr="00E16F5D" w:rsidRDefault="00000000">
            <w:pPr>
              <w:rPr>
                <w:rFonts w:ascii="Times New Roman" w:eastAsia="Times New Roman" w:hAnsi="Times New Roman" w:cs="Times New Roman"/>
                <w:color w:val="000000"/>
              </w:rPr>
            </w:pPr>
            <w:r w:rsidRPr="00E16F5D">
              <w:rPr>
                <w:rFonts w:ascii="Times New Roman" w:eastAsia="Times New Roman" w:hAnsi="Times New Roman" w:cs="Times New Roman"/>
                <w:color w:val="000000"/>
              </w:rPr>
              <w:t>Orbit Length (Diameter)</w:t>
            </w:r>
          </w:p>
        </w:tc>
        <w:tc>
          <w:tcPr>
            <w:tcW w:w="6275" w:type="dxa"/>
            <w:tcBorders>
              <w:top w:val="nil"/>
              <w:left w:val="nil"/>
              <w:bottom w:val="single" w:sz="4" w:space="0" w:color="000000"/>
              <w:right w:val="single" w:sz="4" w:space="0" w:color="000000"/>
            </w:tcBorders>
          </w:tcPr>
          <w:p w14:paraId="35D0E513" w14:textId="3BA71081" w:rsidR="00E02B8D" w:rsidRPr="00E16F5D" w:rsidRDefault="00000000">
            <w:pPr>
              <w:rPr>
                <w:rFonts w:ascii="Times New Roman" w:eastAsia="Times New Roman" w:hAnsi="Times New Roman" w:cs="Times New Roman"/>
                <w:color w:val="000000"/>
              </w:rPr>
            </w:pPr>
            <w:r w:rsidRPr="00E16F5D">
              <w:rPr>
                <w:rFonts w:ascii="Times New Roman" w:eastAsia="Times New Roman" w:hAnsi="Times New Roman" w:cs="Times New Roman"/>
                <w:color w:val="000000"/>
              </w:rPr>
              <w:t xml:space="preserve">Horizontal distance </w:t>
            </w:r>
            <w:r w:rsidR="00E16F5D" w:rsidRPr="00E16F5D">
              <w:rPr>
                <w:rFonts w:ascii="Times New Roman" w:eastAsia="Times New Roman" w:hAnsi="Times New Roman" w:cs="Times New Roman"/>
                <w:color w:val="000000"/>
              </w:rPr>
              <w:t xml:space="preserve">measured </w:t>
            </w:r>
            <w:r w:rsidRPr="00E16F5D">
              <w:rPr>
                <w:rFonts w:ascii="Times New Roman" w:eastAsia="Times New Roman" w:hAnsi="Times New Roman" w:cs="Times New Roman"/>
                <w:color w:val="000000"/>
              </w:rPr>
              <w:t>between the fleshy orbital rims</w:t>
            </w:r>
          </w:p>
        </w:tc>
      </w:tr>
      <w:tr w:rsidR="00E02B8D" w14:paraId="35D0E517" w14:textId="77777777">
        <w:trPr>
          <w:trHeight w:val="210"/>
        </w:trPr>
        <w:tc>
          <w:tcPr>
            <w:tcW w:w="3084" w:type="dxa"/>
            <w:tcBorders>
              <w:top w:val="nil"/>
              <w:left w:val="single" w:sz="4" w:space="0" w:color="000000"/>
              <w:bottom w:val="nil"/>
              <w:right w:val="single" w:sz="4" w:space="0" w:color="000000"/>
            </w:tcBorders>
          </w:tcPr>
          <w:p w14:paraId="35D0E515"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Lip Width</w:t>
            </w:r>
          </w:p>
        </w:tc>
        <w:tc>
          <w:tcPr>
            <w:tcW w:w="6275" w:type="dxa"/>
            <w:tcBorders>
              <w:top w:val="nil"/>
              <w:left w:val="nil"/>
              <w:bottom w:val="nil"/>
              <w:right w:val="single" w:sz="4" w:space="0" w:color="000000"/>
            </w:tcBorders>
          </w:tcPr>
          <w:p w14:paraId="35D0E516" w14:textId="5865420D" w:rsidR="00E02B8D" w:rsidRDefault="00CD7AFC">
            <w:pPr>
              <w:rPr>
                <w:rFonts w:ascii="Times New Roman" w:eastAsia="Times New Roman" w:hAnsi="Times New Roman" w:cs="Times New Roman"/>
                <w:color w:val="000000"/>
              </w:rPr>
            </w:pPr>
            <w:r>
              <w:rPr>
                <w:rFonts w:ascii="Times New Roman" w:eastAsia="Times New Roman" w:hAnsi="Times New Roman" w:cs="Times New Roman"/>
                <w:color w:val="000000"/>
              </w:rPr>
              <w:t>Measurement of the g</w:t>
            </w:r>
            <w:r w:rsidR="00000000">
              <w:rPr>
                <w:rFonts w:ascii="Times New Roman" w:eastAsia="Times New Roman" w:hAnsi="Times New Roman" w:cs="Times New Roman"/>
                <w:color w:val="000000"/>
              </w:rPr>
              <w:t>reatest distance between the outer, lateral edges of the lips</w:t>
            </w:r>
          </w:p>
        </w:tc>
      </w:tr>
      <w:tr w:rsidR="00E02B8D" w14:paraId="35D0E51A" w14:textId="77777777">
        <w:trPr>
          <w:trHeight w:val="210"/>
        </w:trPr>
        <w:tc>
          <w:tcPr>
            <w:tcW w:w="3084" w:type="dxa"/>
            <w:tcBorders>
              <w:top w:val="single" w:sz="4" w:space="0" w:color="000000"/>
              <w:left w:val="single" w:sz="4" w:space="0" w:color="000000"/>
              <w:bottom w:val="single" w:sz="4" w:space="0" w:color="000000"/>
              <w:right w:val="single" w:sz="4" w:space="0" w:color="000000"/>
            </w:tcBorders>
          </w:tcPr>
          <w:p w14:paraId="35D0E518"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Lip Length</w:t>
            </w:r>
          </w:p>
        </w:tc>
        <w:tc>
          <w:tcPr>
            <w:tcW w:w="6275" w:type="dxa"/>
            <w:tcBorders>
              <w:top w:val="single" w:sz="4" w:space="0" w:color="000000"/>
              <w:left w:val="nil"/>
              <w:bottom w:val="single" w:sz="4" w:space="0" w:color="000000"/>
              <w:right w:val="single" w:sz="4" w:space="0" w:color="000000"/>
            </w:tcBorders>
          </w:tcPr>
          <w:p w14:paraId="35D0E519"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Measured horizontally along the midline, from the anterior edge of the upper lip to the posterior edge of the lower lip including posterior extensions of the lower lip</w:t>
            </w:r>
          </w:p>
        </w:tc>
      </w:tr>
      <w:tr w:rsidR="00E02B8D" w14:paraId="35D0E51D" w14:textId="77777777">
        <w:trPr>
          <w:trHeight w:val="210"/>
        </w:trPr>
        <w:tc>
          <w:tcPr>
            <w:tcW w:w="3084" w:type="dxa"/>
            <w:tcBorders>
              <w:top w:val="nil"/>
              <w:left w:val="single" w:sz="4" w:space="0" w:color="000000"/>
              <w:bottom w:val="single" w:sz="4" w:space="0" w:color="000000"/>
              <w:right w:val="single" w:sz="4" w:space="0" w:color="000000"/>
            </w:tcBorders>
          </w:tcPr>
          <w:p w14:paraId="35D0E51B"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Upper Lip Length</w:t>
            </w:r>
          </w:p>
        </w:tc>
        <w:tc>
          <w:tcPr>
            <w:tcW w:w="6275" w:type="dxa"/>
            <w:tcBorders>
              <w:top w:val="nil"/>
              <w:left w:val="nil"/>
              <w:bottom w:val="single" w:sz="4" w:space="0" w:color="000000"/>
              <w:right w:val="single" w:sz="4" w:space="0" w:color="000000"/>
            </w:tcBorders>
          </w:tcPr>
          <w:p w14:paraId="35D0E51C" w14:textId="2E111FE9"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along the midline from the anterior edge of the upper lip to the posterior edge of the upper lip</w:t>
            </w:r>
          </w:p>
        </w:tc>
      </w:tr>
      <w:tr w:rsidR="00E02B8D" w14:paraId="35D0E520" w14:textId="77777777">
        <w:trPr>
          <w:trHeight w:val="210"/>
        </w:trPr>
        <w:tc>
          <w:tcPr>
            <w:tcW w:w="3084" w:type="dxa"/>
            <w:tcBorders>
              <w:top w:val="nil"/>
              <w:left w:val="single" w:sz="4" w:space="0" w:color="000000"/>
              <w:bottom w:val="single" w:sz="4" w:space="0" w:color="000000"/>
              <w:right w:val="single" w:sz="4" w:space="0" w:color="000000"/>
            </w:tcBorders>
          </w:tcPr>
          <w:p w14:paraId="35D0E51E"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Dorsal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 xml:space="preserve">Fin Height </w:t>
            </w:r>
            <w:r w:rsidRPr="005F13BE">
              <w:rPr>
                <w:rFonts w:ascii="Times New Roman" w:eastAsia="Times New Roman" w:hAnsi="Times New Roman" w:cs="Times New Roman"/>
              </w:rPr>
              <w:t xml:space="preserve">at </w:t>
            </w:r>
            <w:r w:rsidRPr="005F13BE">
              <w:rPr>
                <w:rFonts w:ascii="Times New Roman" w:eastAsia="Times New Roman" w:hAnsi="Times New Roman" w:cs="Times New Roman"/>
                <w:color w:val="000000"/>
              </w:rPr>
              <w:t>Longest Ray</w:t>
            </w:r>
          </w:p>
        </w:tc>
        <w:tc>
          <w:tcPr>
            <w:tcW w:w="6275" w:type="dxa"/>
            <w:tcBorders>
              <w:top w:val="nil"/>
              <w:left w:val="nil"/>
              <w:bottom w:val="single" w:sz="4" w:space="0" w:color="000000"/>
              <w:right w:val="single" w:sz="4" w:space="0" w:color="000000"/>
            </w:tcBorders>
          </w:tcPr>
          <w:p w14:paraId="35D0E51F" w14:textId="51FFFC07"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from the origin of the dorsal-fin base to the longest ray</w:t>
            </w:r>
          </w:p>
        </w:tc>
      </w:tr>
      <w:tr w:rsidR="00E02B8D" w14:paraId="35D0E523" w14:textId="77777777">
        <w:trPr>
          <w:trHeight w:val="210"/>
        </w:trPr>
        <w:tc>
          <w:tcPr>
            <w:tcW w:w="3084" w:type="dxa"/>
            <w:tcBorders>
              <w:top w:val="nil"/>
              <w:left w:val="single" w:sz="4" w:space="0" w:color="000000"/>
              <w:bottom w:val="single" w:sz="4" w:space="0" w:color="000000"/>
              <w:right w:val="single" w:sz="4" w:space="0" w:color="000000"/>
            </w:tcBorders>
          </w:tcPr>
          <w:p w14:paraId="35D0E521"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Length of Lower Caudal-Fin Lobe</w:t>
            </w:r>
          </w:p>
        </w:tc>
        <w:tc>
          <w:tcPr>
            <w:tcW w:w="6275" w:type="dxa"/>
            <w:tcBorders>
              <w:top w:val="nil"/>
              <w:left w:val="nil"/>
              <w:bottom w:val="single" w:sz="4" w:space="0" w:color="000000"/>
              <w:right w:val="single" w:sz="4" w:space="0" w:color="000000"/>
            </w:tcBorders>
          </w:tcPr>
          <w:p w14:paraId="35D0E522" w14:textId="5A874AE0"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from the hypural plate to the tip of the lower lobe; the lobes were spread such that the leading edge was about 45° from horizontal</w:t>
            </w:r>
          </w:p>
        </w:tc>
      </w:tr>
      <w:tr w:rsidR="00E02B8D" w14:paraId="35D0E526" w14:textId="77777777">
        <w:trPr>
          <w:trHeight w:val="210"/>
        </w:trPr>
        <w:tc>
          <w:tcPr>
            <w:tcW w:w="3084" w:type="dxa"/>
            <w:tcBorders>
              <w:top w:val="nil"/>
              <w:left w:val="single" w:sz="4" w:space="0" w:color="000000"/>
              <w:bottom w:val="single" w:sz="4" w:space="0" w:color="000000"/>
              <w:right w:val="single" w:sz="4" w:space="0" w:color="000000"/>
            </w:tcBorders>
          </w:tcPr>
          <w:p w14:paraId="35D0E524"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Pectoral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Fin Length</w:t>
            </w:r>
          </w:p>
        </w:tc>
        <w:tc>
          <w:tcPr>
            <w:tcW w:w="6275" w:type="dxa"/>
            <w:tcBorders>
              <w:top w:val="nil"/>
              <w:left w:val="nil"/>
              <w:bottom w:val="single" w:sz="4" w:space="0" w:color="000000"/>
              <w:right w:val="single" w:sz="4" w:space="0" w:color="000000"/>
            </w:tcBorders>
          </w:tcPr>
          <w:p w14:paraId="35D0E525" w14:textId="0E6FED4B"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from the origin of the pectoral-fin base to the longest ray</w:t>
            </w:r>
          </w:p>
        </w:tc>
      </w:tr>
      <w:tr w:rsidR="00E02B8D" w14:paraId="35D0E529" w14:textId="77777777">
        <w:trPr>
          <w:trHeight w:val="210"/>
        </w:trPr>
        <w:tc>
          <w:tcPr>
            <w:tcW w:w="3084" w:type="dxa"/>
            <w:tcBorders>
              <w:top w:val="nil"/>
              <w:left w:val="single" w:sz="4" w:space="0" w:color="000000"/>
              <w:bottom w:val="single" w:sz="4" w:space="0" w:color="000000"/>
              <w:right w:val="single" w:sz="4" w:space="0" w:color="000000"/>
            </w:tcBorders>
          </w:tcPr>
          <w:p w14:paraId="35D0E527"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Pelvic</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Fin Length</w:t>
            </w:r>
          </w:p>
        </w:tc>
        <w:tc>
          <w:tcPr>
            <w:tcW w:w="6275" w:type="dxa"/>
            <w:tcBorders>
              <w:top w:val="nil"/>
              <w:left w:val="nil"/>
              <w:bottom w:val="single" w:sz="4" w:space="0" w:color="000000"/>
              <w:right w:val="single" w:sz="4" w:space="0" w:color="000000"/>
            </w:tcBorders>
          </w:tcPr>
          <w:p w14:paraId="35D0E528" w14:textId="09328917"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from the origin of the pelvic-fin base to the longest ray</w:t>
            </w:r>
          </w:p>
        </w:tc>
      </w:tr>
      <w:tr w:rsidR="00E02B8D" w14:paraId="35D0E52C" w14:textId="77777777">
        <w:trPr>
          <w:trHeight w:val="210"/>
        </w:trPr>
        <w:tc>
          <w:tcPr>
            <w:tcW w:w="3084" w:type="dxa"/>
            <w:tcBorders>
              <w:top w:val="nil"/>
              <w:left w:val="single" w:sz="4" w:space="0" w:color="000000"/>
              <w:bottom w:val="single" w:sz="4" w:space="0" w:color="000000"/>
              <w:right w:val="single" w:sz="4" w:space="0" w:color="000000"/>
            </w:tcBorders>
          </w:tcPr>
          <w:p w14:paraId="35D0E52A"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Anal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Fin Length</w:t>
            </w:r>
          </w:p>
        </w:tc>
        <w:tc>
          <w:tcPr>
            <w:tcW w:w="6275" w:type="dxa"/>
            <w:tcBorders>
              <w:top w:val="nil"/>
              <w:left w:val="nil"/>
              <w:bottom w:val="single" w:sz="4" w:space="0" w:color="000000"/>
              <w:right w:val="single" w:sz="4" w:space="0" w:color="000000"/>
            </w:tcBorders>
          </w:tcPr>
          <w:p w14:paraId="35D0E52B" w14:textId="72000A0D" w:rsidR="00E02B8D" w:rsidRDefault="00772E41">
            <w:pPr>
              <w:rPr>
                <w:rFonts w:ascii="Times New Roman" w:eastAsia="Times New Roman" w:hAnsi="Times New Roman" w:cs="Times New Roman"/>
                <w:color w:val="000000"/>
              </w:rPr>
            </w:pPr>
            <w:r>
              <w:rPr>
                <w:rFonts w:ascii="Times New Roman" w:eastAsia="Times New Roman" w:hAnsi="Times New Roman" w:cs="Times New Roman"/>
                <w:color w:val="000000"/>
              </w:rPr>
              <w:t>M</w:t>
            </w:r>
            <w:r w:rsidR="00000000">
              <w:rPr>
                <w:rFonts w:ascii="Times New Roman" w:eastAsia="Times New Roman" w:hAnsi="Times New Roman" w:cs="Times New Roman"/>
                <w:color w:val="000000"/>
              </w:rPr>
              <w:t>easured from the origin of the anal-fin base to the longest ray</w:t>
            </w:r>
          </w:p>
        </w:tc>
      </w:tr>
      <w:tr w:rsidR="00E02B8D" w14:paraId="35D0E52F" w14:textId="77777777">
        <w:trPr>
          <w:trHeight w:val="210"/>
        </w:trPr>
        <w:tc>
          <w:tcPr>
            <w:tcW w:w="3084" w:type="dxa"/>
            <w:tcBorders>
              <w:top w:val="nil"/>
              <w:left w:val="single" w:sz="4" w:space="0" w:color="000000"/>
              <w:bottom w:val="single" w:sz="4" w:space="0" w:color="000000"/>
              <w:right w:val="single" w:sz="4" w:space="0" w:color="000000"/>
            </w:tcBorders>
            <w:shd w:val="clear" w:color="auto" w:fill="D9D9D9"/>
          </w:tcPr>
          <w:p w14:paraId="35D0E52D" w14:textId="77777777" w:rsidR="00E02B8D" w:rsidRPr="0025681D" w:rsidRDefault="00000000">
            <w:pPr>
              <w:rPr>
                <w:rFonts w:ascii="Times New Roman" w:eastAsia="Times New Roman" w:hAnsi="Times New Roman" w:cs="Times New Roman"/>
                <w:b/>
                <w:bCs/>
                <w:color w:val="000000"/>
              </w:rPr>
            </w:pPr>
            <w:r w:rsidRPr="0025681D">
              <w:rPr>
                <w:rFonts w:ascii="Times New Roman" w:eastAsia="Times New Roman" w:hAnsi="Times New Roman" w:cs="Times New Roman"/>
                <w:b/>
                <w:bCs/>
                <w:color w:val="000000"/>
              </w:rPr>
              <w:t>Descriptive Characters</w:t>
            </w:r>
          </w:p>
        </w:tc>
        <w:tc>
          <w:tcPr>
            <w:tcW w:w="6275" w:type="dxa"/>
            <w:tcBorders>
              <w:top w:val="nil"/>
              <w:left w:val="nil"/>
              <w:bottom w:val="single" w:sz="4" w:space="0" w:color="000000"/>
              <w:right w:val="single" w:sz="4" w:space="0" w:color="000000"/>
            </w:tcBorders>
            <w:shd w:val="clear" w:color="auto" w:fill="D9D9D9"/>
          </w:tcPr>
          <w:p w14:paraId="35D0E52E"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02B8D" w14:paraId="35D0E532" w14:textId="77777777">
        <w:trPr>
          <w:trHeight w:val="210"/>
        </w:trPr>
        <w:tc>
          <w:tcPr>
            <w:tcW w:w="3084" w:type="dxa"/>
            <w:tcBorders>
              <w:top w:val="nil"/>
              <w:left w:val="single" w:sz="4" w:space="0" w:color="000000"/>
              <w:bottom w:val="single" w:sz="4" w:space="0" w:color="000000"/>
              <w:right w:val="single" w:sz="4" w:space="0" w:color="000000"/>
            </w:tcBorders>
          </w:tcPr>
          <w:p w14:paraId="35D0E530"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Pharyngeal Arch &amp; Teeth</w:t>
            </w:r>
          </w:p>
        </w:tc>
        <w:tc>
          <w:tcPr>
            <w:tcW w:w="6275" w:type="dxa"/>
            <w:tcBorders>
              <w:top w:val="nil"/>
              <w:left w:val="nil"/>
              <w:bottom w:val="single" w:sz="4" w:space="0" w:color="000000"/>
              <w:right w:val="single" w:sz="4" w:space="0" w:color="000000"/>
            </w:tcBorders>
          </w:tcPr>
          <w:p w14:paraId="35D0E531" w14:textId="2E431217" w:rsidR="00E02B8D" w:rsidRDefault="0025681D">
            <w:pPr>
              <w:rPr>
                <w:rFonts w:ascii="Times New Roman" w:eastAsia="Times New Roman" w:hAnsi="Times New Roman" w:cs="Times New Roman"/>
                <w:color w:val="000000"/>
              </w:rPr>
            </w:pPr>
            <w:r>
              <w:rPr>
                <w:rFonts w:ascii="Times New Roman" w:eastAsia="Times New Roman" w:hAnsi="Times New Roman" w:cs="Times New Roman"/>
                <w:color w:val="000000"/>
              </w:rPr>
              <w:t>Arch s</w:t>
            </w:r>
            <w:r w:rsidR="00000000">
              <w:rPr>
                <w:rFonts w:ascii="Times New Roman" w:eastAsia="Times New Roman" w:hAnsi="Times New Roman" w:cs="Times New Roman"/>
                <w:color w:val="000000"/>
              </w:rPr>
              <w:t>tout or thin; teeth comb-like or molariform</w:t>
            </w:r>
          </w:p>
        </w:tc>
      </w:tr>
      <w:tr w:rsidR="00E02B8D" w14:paraId="35D0E535" w14:textId="77777777">
        <w:trPr>
          <w:trHeight w:val="210"/>
        </w:trPr>
        <w:tc>
          <w:tcPr>
            <w:tcW w:w="3084" w:type="dxa"/>
            <w:tcBorders>
              <w:top w:val="nil"/>
              <w:left w:val="single" w:sz="4" w:space="0" w:color="000000"/>
              <w:bottom w:val="single" w:sz="4" w:space="0" w:color="000000"/>
              <w:right w:val="single" w:sz="4" w:space="0" w:color="000000"/>
            </w:tcBorders>
          </w:tcPr>
          <w:p w14:paraId="35D0E533"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Pigmentation of Lateral Scale Bases (Pigmentary Patterns)</w:t>
            </w:r>
          </w:p>
        </w:tc>
        <w:tc>
          <w:tcPr>
            <w:tcW w:w="6275" w:type="dxa"/>
            <w:tcBorders>
              <w:top w:val="nil"/>
              <w:left w:val="nil"/>
              <w:bottom w:val="single" w:sz="4" w:space="0" w:color="000000"/>
              <w:right w:val="single" w:sz="4" w:space="0" w:color="000000"/>
            </w:tcBorders>
          </w:tcPr>
          <w:p w14:paraId="35D0E534" w14:textId="39762488"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Dark scale bases </w:t>
            </w:r>
            <w:r w:rsidR="00772E27">
              <w:rPr>
                <w:rFonts w:ascii="Times New Roman" w:eastAsia="Times New Roman" w:hAnsi="Times New Roman" w:cs="Times New Roman"/>
                <w:color w:val="000000"/>
              </w:rPr>
              <w:t>refer</w:t>
            </w:r>
            <w:r>
              <w:rPr>
                <w:rFonts w:ascii="Times New Roman" w:eastAsia="Times New Roman" w:hAnsi="Times New Roman" w:cs="Times New Roman"/>
                <w:color w:val="000000"/>
              </w:rPr>
              <w:t xml:space="preserve"> to the anterior, crescent-shaped or straight-edged shaped scale pockets on the exposed portion of the scales</w:t>
            </w:r>
            <w:r w:rsidR="001F3285">
              <w:rPr>
                <w:rFonts w:ascii="Times New Roman" w:eastAsia="Times New Roman" w:hAnsi="Times New Roman" w:cs="Times New Roman"/>
                <w:color w:val="000000"/>
              </w:rPr>
              <w:t>; p</w:t>
            </w:r>
            <w:r>
              <w:rPr>
                <w:rFonts w:ascii="Times New Roman" w:eastAsia="Times New Roman" w:hAnsi="Times New Roman" w:cs="Times New Roman"/>
                <w:color w:val="000000"/>
              </w:rPr>
              <w:t>ockets are notably or sharply darker than the adjacent central area of the scales</w:t>
            </w:r>
          </w:p>
        </w:tc>
      </w:tr>
      <w:tr w:rsidR="00E02B8D" w14:paraId="35D0E538" w14:textId="77777777">
        <w:trPr>
          <w:trHeight w:val="576"/>
        </w:trPr>
        <w:tc>
          <w:tcPr>
            <w:tcW w:w="3084" w:type="dxa"/>
            <w:tcBorders>
              <w:top w:val="nil"/>
              <w:left w:val="single" w:sz="4" w:space="0" w:color="000000"/>
              <w:bottom w:val="single" w:sz="4" w:space="0" w:color="000000"/>
              <w:right w:val="single" w:sz="4" w:space="0" w:color="000000"/>
            </w:tcBorders>
          </w:tcPr>
          <w:p w14:paraId="35D0E536"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lastRenderedPageBreak/>
              <w:t xml:space="preserve">Breast Scales </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 Scaled</w:t>
            </w:r>
          </w:p>
        </w:tc>
        <w:tc>
          <w:tcPr>
            <w:tcW w:w="6275" w:type="dxa"/>
            <w:tcBorders>
              <w:top w:val="nil"/>
              <w:left w:val="nil"/>
              <w:bottom w:val="single" w:sz="4" w:space="0" w:color="000000"/>
              <w:right w:val="single" w:sz="4" w:space="0" w:color="000000"/>
            </w:tcBorders>
          </w:tcPr>
          <w:p w14:paraId="35D0E537" w14:textId="02202860"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Estimated and expressed as the percentage of scale coverage of the breast bounded by the branchiostegal membranes (anteriorly as far as their attachment to the isthmus) and the pectoral-fin bases</w:t>
            </w:r>
          </w:p>
        </w:tc>
      </w:tr>
      <w:tr w:rsidR="00E02B8D" w14:paraId="35D0E53B" w14:textId="77777777">
        <w:trPr>
          <w:trHeight w:val="449"/>
        </w:trPr>
        <w:tc>
          <w:tcPr>
            <w:tcW w:w="3084" w:type="dxa"/>
            <w:tcBorders>
              <w:top w:val="nil"/>
              <w:left w:val="single" w:sz="4" w:space="0" w:color="000000"/>
              <w:bottom w:val="single" w:sz="4" w:space="0" w:color="000000"/>
              <w:right w:val="single" w:sz="4" w:space="0" w:color="000000"/>
            </w:tcBorders>
          </w:tcPr>
          <w:p w14:paraId="35D0E539"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 xml:space="preserve">Breast Scales </w:t>
            </w:r>
            <w:r w:rsidRPr="005F13BE">
              <w:rPr>
                <w:rFonts w:ascii="Times New Roman" w:eastAsia="Times New Roman" w:hAnsi="Times New Roman" w:cs="Times New Roman"/>
              </w:rPr>
              <w:t>–</w:t>
            </w:r>
            <w:r w:rsidRPr="005F13BE">
              <w:rPr>
                <w:rFonts w:ascii="Times New Roman" w:eastAsia="Times New Roman" w:hAnsi="Times New Roman" w:cs="Times New Roman"/>
                <w:color w:val="000000"/>
              </w:rPr>
              <w:t xml:space="preserve"> Embeddedness</w:t>
            </w:r>
          </w:p>
        </w:tc>
        <w:tc>
          <w:tcPr>
            <w:tcW w:w="6275" w:type="dxa"/>
            <w:tcBorders>
              <w:top w:val="nil"/>
              <w:left w:val="nil"/>
              <w:bottom w:val="single" w:sz="4" w:space="0" w:color="000000"/>
              <w:right w:val="single" w:sz="4" w:space="0" w:color="000000"/>
            </w:tcBorders>
          </w:tcPr>
          <w:p w14:paraId="35D0E53A" w14:textId="7DBAD324"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Scales embedded (Yes) or exposed (No)</w:t>
            </w:r>
            <w:r w:rsidR="00B81812">
              <w:rPr>
                <w:rFonts w:ascii="Times New Roman" w:eastAsia="Times New Roman" w:hAnsi="Times New Roman" w:cs="Times New Roman"/>
                <w:color w:val="000000"/>
              </w:rPr>
              <w:t>; e</w:t>
            </w:r>
            <w:r>
              <w:rPr>
                <w:rFonts w:ascii="Times New Roman" w:eastAsia="Times New Roman" w:hAnsi="Times New Roman" w:cs="Times New Roman"/>
                <w:color w:val="000000"/>
              </w:rPr>
              <w:t>mbedded scales were discerned by scraping with a needlepoint</w:t>
            </w:r>
          </w:p>
        </w:tc>
      </w:tr>
      <w:tr w:rsidR="00E02B8D" w14:paraId="35D0E53E" w14:textId="77777777">
        <w:trPr>
          <w:trHeight w:val="210"/>
        </w:trPr>
        <w:tc>
          <w:tcPr>
            <w:tcW w:w="3084" w:type="dxa"/>
            <w:tcBorders>
              <w:top w:val="nil"/>
              <w:left w:val="single" w:sz="4" w:space="0" w:color="000000"/>
              <w:bottom w:val="single" w:sz="4" w:space="0" w:color="000000"/>
              <w:right w:val="single" w:sz="4" w:space="0" w:color="000000"/>
            </w:tcBorders>
          </w:tcPr>
          <w:p w14:paraId="35D0E53C"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 xml:space="preserve">Breast Scales </w:t>
            </w:r>
            <w:r w:rsidRPr="005F13BE">
              <w:rPr>
                <w:rFonts w:ascii="Times New Roman" w:eastAsia="Times New Roman" w:hAnsi="Times New Roman" w:cs="Times New Roman"/>
              </w:rPr>
              <w:t>–</w:t>
            </w:r>
            <w:r w:rsidRPr="005F13BE">
              <w:rPr>
                <w:rFonts w:ascii="Times New Roman" w:eastAsia="Times New Roman" w:hAnsi="Times New Roman" w:cs="Times New Roman"/>
                <w:color w:val="000000"/>
              </w:rPr>
              <w:t>% Embedded</w:t>
            </w:r>
          </w:p>
        </w:tc>
        <w:tc>
          <w:tcPr>
            <w:tcW w:w="6275" w:type="dxa"/>
            <w:tcBorders>
              <w:top w:val="nil"/>
              <w:left w:val="nil"/>
              <w:bottom w:val="single" w:sz="4" w:space="0" w:color="000000"/>
              <w:right w:val="single" w:sz="4" w:space="0" w:color="000000"/>
            </w:tcBorders>
          </w:tcPr>
          <w:p w14:paraId="35D0E53D" w14:textId="1CF8B4ED"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Embedded scales were discerned by scraping with a needlepoint</w:t>
            </w:r>
          </w:p>
        </w:tc>
      </w:tr>
      <w:tr w:rsidR="00E02B8D" w14:paraId="35D0E541" w14:textId="77777777">
        <w:trPr>
          <w:trHeight w:val="210"/>
        </w:trPr>
        <w:tc>
          <w:tcPr>
            <w:tcW w:w="3084" w:type="dxa"/>
            <w:tcBorders>
              <w:top w:val="nil"/>
              <w:left w:val="single" w:sz="4" w:space="0" w:color="000000"/>
              <w:bottom w:val="single" w:sz="4" w:space="0" w:color="000000"/>
              <w:right w:val="single" w:sz="4" w:space="0" w:color="000000"/>
            </w:tcBorders>
          </w:tcPr>
          <w:p w14:paraId="35D0E53F"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 xml:space="preserve">Nuptial Tubercles </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Males</w:t>
            </w:r>
          </w:p>
        </w:tc>
        <w:tc>
          <w:tcPr>
            <w:tcW w:w="6275" w:type="dxa"/>
            <w:tcBorders>
              <w:top w:val="nil"/>
              <w:left w:val="nil"/>
              <w:bottom w:val="single" w:sz="4" w:space="0" w:color="000000"/>
              <w:right w:val="single" w:sz="4" w:space="0" w:color="000000"/>
            </w:tcBorders>
          </w:tcPr>
          <w:p w14:paraId="35D0E540"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Size and distribution of tubercles on the body and fins</w:t>
            </w:r>
          </w:p>
        </w:tc>
      </w:tr>
      <w:tr w:rsidR="00E02B8D" w14:paraId="35D0E544" w14:textId="77777777">
        <w:trPr>
          <w:trHeight w:val="210"/>
        </w:trPr>
        <w:tc>
          <w:tcPr>
            <w:tcW w:w="3084" w:type="dxa"/>
            <w:tcBorders>
              <w:top w:val="nil"/>
              <w:left w:val="single" w:sz="4" w:space="0" w:color="000000"/>
              <w:bottom w:val="single" w:sz="4" w:space="0" w:color="000000"/>
              <w:right w:val="single" w:sz="4" w:space="0" w:color="000000"/>
            </w:tcBorders>
          </w:tcPr>
          <w:p w14:paraId="35D0E542"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 xml:space="preserve">Nuptial Tubercles </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Females</w:t>
            </w:r>
          </w:p>
        </w:tc>
        <w:tc>
          <w:tcPr>
            <w:tcW w:w="6275" w:type="dxa"/>
            <w:tcBorders>
              <w:top w:val="nil"/>
              <w:left w:val="nil"/>
              <w:bottom w:val="single" w:sz="4" w:space="0" w:color="000000"/>
              <w:right w:val="single" w:sz="4" w:space="0" w:color="000000"/>
            </w:tcBorders>
          </w:tcPr>
          <w:p w14:paraId="35D0E543"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Size and distribution of tubercles on the body and fins</w:t>
            </w:r>
          </w:p>
        </w:tc>
      </w:tr>
      <w:tr w:rsidR="00E02B8D" w14:paraId="35D0E547" w14:textId="77777777">
        <w:trPr>
          <w:trHeight w:val="210"/>
        </w:trPr>
        <w:tc>
          <w:tcPr>
            <w:tcW w:w="3084" w:type="dxa"/>
            <w:tcBorders>
              <w:top w:val="nil"/>
              <w:left w:val="single" w:sz="4" w:space="0" w:color="000000"/>
              <w:bottom w:val="single" w:sz="4" w:space="0" w:color="000000"/>
              <w:right w:val="single" w:sz="4" w:space="0" w:color="000000"/>
            </w:tcBorders>
          </w:tcPr>
          <w:p w14:paraId="35D0E545"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Supratemporal Canal</w:t>
            </w:r>
          </w:p>
        </w:tc>
        <w:tc>
          <w:tcPr>
            <w:tcW w:w="6275" w:type="dxa"/>
            <w:tcBorders>
              <w:top w:val="nil"/>
              <w:left w:val="nil"/>
              <w:bottom w:val="single" w:sz="4" w:space="0" w:color="000000"/>
              <w:right w:val="single" w:sz="4" w:space="0" w:color="000000"/>
            </w:tcBorders>
          </w:tcPr>
          <w:p w14:paraId="35D0E546" w14:textId="4964ABE2"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Interrupted</w:t>
            </w:r>
            <w:r w:rsidR="008671E6">
              <w:rPr>
                <w:rFonts w:ascii="Times New Roman" w:eastAsia="Times New Roman" w:hAnsi="Times New Roman" w:cs="Times New Roman"/>
                <w:color w:val="000000"/>
              </w:rPr>
              <w:t xml:space="preserve"> or not interrupted</w:t>
            </w:r>
          </w:p>
        </w:tc>
      </w:tr>
      <w:tr w:rsidR="00E02B8D" w14:paraId="35D0E54A" w14:textId="77777777">
        <w:trPr>
          <w:trHeight w:val="210"/>
        </w:trPr>
        <w:tc>
          <w:tcPr>
            <w:tcW w:w="3084" w:type="dxa"/>
            <w:tcBorders>
              <w:top w:val="nil"/>
              <w:left w:val="single" w:sz="4" w:space="0" w:color="000000"/>
              <w:bottom w:val="single" w:sz="4" w:space="0" w:color="000000"/>
              <w:right w:val="single" w:sz="4" w:space="0" w:color="000000"/>
            </w:tcBorders>
          </w:tcPr>
          <w:p w14:paraId="35D0E548"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Body Shape</w:t>
            </w:r>
          </w:p>
        </w:tc>
        <w:tc>
          <w:tcPr>
            <w:tcW w:w="6275" w:type="dxa"/>
            <w:tcBorders>
              <w:top w:val="nil"/>
              <w:left w:val="nil"/>
              <w:bottom w:val="single" w:sz="4" w:space="0" w:color="000000"/>
              <w:right w:val="single" w:sz="4" w:space="0" w:color="000000"/>
            </w:tcBorders>
          </w:tcPr>
          <w:p w14:paraId="35D0E549"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Stout (robust) &amp; short or elongate &amp; slender</w:t>
            </w:r>
          </w:p>
        </w:tc>
      </w:tr>
      <w:tr w:rsidR="00E02B8D" w14:paraId="35D0E54D" w14:textId="77777777">
        <w:trPr>
          <w:trHeight w:val="210"/>
        </w:trPr>
        <w:tc>
          <w:tcPr>
            <w:tcW w:w="3084" w:type="dxa"/>
            <w:tcBorders>
              <w:top w:val="nil"/>
              <w:left w:val="single" w:sz="4" w:space="0" w:color="000000"/>
              <w:bottom w:val="single" w:sz="4" w:space="0" w:color="000000"/>
              <w:right w:val="single" w:sz="4" w:space="0" w:color="000000"/>
            </w:tcBorders>
          </w:tcPr>
          <w:p w14:paraId="35D0E54B"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Head Size &amp; Shape</w:t>
            </w:r>
          </w:p>
        </w:tc>
        <w:tc>
          <w:tcPr>
            <w:tcW w:w="6275" w:type="dxa"/>
            <w:tcBorders>
              <w:top w:val="nil"/>
              <w:left w:val="nil"/>
              <w:bottom w:val="single" w:sz="4" w:space="0" w:color="000000"/>
              <w:right w:val="single" w:sz="4" w:space="0" w:color="000000"/>
            </w:tcBorders>
          </w:tcPr>
          <w:p w14:paraId="35D0E54C"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Short &amp; small or elongate &amp; large; flat or convex</w:t>
            </w:r>
          </w:p>
        </w:tc>
      </w:tr>
      <w:tr w:rsidR="00E02B8D" w14:paraId="35D0E550" w14:textId="77777777">
        <w:trPr>
          <w:trHeight w:val="210"/>
        </w:trPr>
        <w:tc>
          <w:tcPr>
            <w:tcW w:w="3084" w:type="dxa"/>
            <w:tcBorders>
              <w:top w:val="nil"/>
              <w:left w:val="single" w:sz="4" w:space="0" w:color="000000"/>
              <w:bottom w:val="single" w:sz="4" w:space="0" w:color="000000"/>
              <w:right w:val="single" w:sz="4" w:space="0" w:color="000000"/>
            </w:tcBorders>
          </w:tcPr>
          <w:p w14:paraId="35D0E54E"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Snout Shape</w:t>
            </w:r>
          </w:p>
        </w:tc>
        <w:tc>
          <w:tcPr>
            <w:tcW w:w="6275" w:type="dxa"/>
            <w:tcBorders>
              <w:top w:val="nil"/>
              <w:left w:val="nil"/>
              <w:bottom w:val="single" w:sz="4" w:space="0" w:color="000000"/>
              <w:right w:val="single" w:sz="4" w:space="0" w:color="000000"/>
            </w:tcBorders>
          </w:tcPr>
          <w:p w14:paraId="35D0E54F"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Prominent or truncate</w:t>
            </w:r>
          </w:p>
        </w:tc>
      </w:tr>
      <w:tr w:rsidR="00E02B8D" w14:paraId="35D0E553" w14:textId="77777777">
        <w:trPr>
          <w:trHeight w:val="210"/>
        </w:trPr>
        <w:tc>
          <w:tcPr>
            <w:tcW w:w="3084" w:type="dxa"/>
            <w:tcBorders>
              <w:top w:val="nil"/>
              <w:left w:val="single" w:sz="4" w:space="0" w:color="000000"/>
              <w:bottom w:val="single" w:sz="4" w:space="0" w:color="000000"/>
              <w:right w:val="single" w:sz="4" w:space="0" w:color="000000"/>
            </w:tcBorders>
          </w:tcPr>
          <w:p w14:paraId="35D0E551"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Dorsal-Fin Distal Margin (Shape)</w:t>
            </w:r>
          </w:p>
        </w:tc>
        <w:tc>
          <w:tcPr>
            <w:tcW w:w="6275" w:type="dxa"/>
            <w:tcBorders>
              <w:top w:val="nil"/>
              <w:left w:val="nil"/>
              <w:bottom w:val="single" w:sz="4" w:space="0" w:color="000000"/>
              <w:right w:val="single" w:sz="4" w:space="0" w:color="000000"/>
            </w:tcBorders>
          </w:tcPr>
          <w:p w14:paraId="35D0E552"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Straight, concave, or falcate</w:t>
            </w:r>
          </w:p>
        </w:tc>
      </w:tr>
      <w:tr w:rsidR="00E02B8D" w14:paraId="35D0E556" w14:textId="77777777">
        <w:trPr>
          <w:trHeight w:val="210"/>
        </w:trPr>
        <w:tc>
          <w:tcPr>
            <w:tcW w:w="3084" w:type="dxa"/>
            <w:tcBorders>
              <w:top w:val="nil"/>
              <w:left w:val="single" w:sz="4" w:space="0" w:color="000000"/>
              <w:bottom w:val="single" w:sz="4" w:space="0" w:color="000000"/>
              <w:right w:val="single" w:sz="4" w:space="0" w:color="000000"/>
            </w:tcBorders>
          </w:tcPr>
          <w:p w14:paraId="35D0E554"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Caudal</w:t>
            </w:r>
            <w:r w:rsidRPr="005F13BE">
              <w:rPr>
                <w:rFonts w:ascii="Times New Roman" w:eastAsia="Times New Roman" w:hAnsi="Times New Roman" w:cs="Times New Roman"/>
              </w:rPr>
              <w:t xml:space="preserve"> </w:t>
            </w:r>
            <w:r w:rsidRPr="005F13BE">
              <w:rPr>
                <w:rFonts w:ascii="Times New Roman" w:eastAsia="Times New Roman" w:hAnsi="Times New Roman" w:cs="Times New Roman"/>
                <w:color w:val="000000"/>
              </w:rPr>
              <w:t>Fin Shape</w:t>
            </w:r>
          </w:p>
        </w:tc>
        <w:tc>
          <w:tcPr>
            <w:tcW w:w="6275" w:type="dxa"/>
            <w:tcBorders>
              <w:top w:val="nil"/>
              <w:left w:val="nil"/>
              <w:bottom w:val="single" w:sz="4" w:space="0" w:color="000000"/>
              <w:right w:val="single" w:sz="4" w:space="0" w:color="000000"/>
            </w:tcBorders>
          </w:tcPr>
          <w:p w14:paraId="35D0E555"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Deeply, moderately, or shallowly forked</w:t>
            </w:r>
          </w:p>
        </w:tc>
      </w:tr>
      <w:tr w:rsidR="00E02B8D" w14:paraId="35D0E559" w14:textId="77777777">
        <w:trPr>
          <w:trHeight w:val="210"/>
        </w:trPr>
        <w:tc>
          <w:tcPr>
            <w:tcW w:w="3084" w:type="dxa"/>
            <w:tcBorders>
              <w:top w:val="nil"/>
              <w:left w:val="single" w:sz="4" w:space="0" w:color="000000"/>
              <w:bottom w:val="single" w:sz="4" w:space="0" w:color="000000"/>
              <w:right w:val="single" w:sz="4" w:space="0" w:color="000000"/>
            </w:tcBorders>
          </w:tcPr>
          <w:p w14:paraId="35D0E557"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Upper Lip Surface</w:t>
            </w:r>
          </w:p>
        </w:tc>
        <w:tc>
          <w:tcPr>
            <w:tcW w:w="6275" w:type="dxa"/>
            <w:tcBorders>
              <w:top w:val="nil"/>
              <w:left w:val="nil"/>
              <w:bottom w:val="single" w:sz="4" w:space="0" w:color="000000"/>
              <w:right w:val="single" w:sz="4" w:space="0" w:color="000000"/>
            </w:tcBorders>
          </w:tcPr>
          <w:p w14:paraId="35D0E558"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Plicate or papillose</w:t>
            </w:r>
          </w:p>
        </w:tc>
      </w:tr>
      <w:tr w:rsidR="00E02B8D" w14:paraId="35D0E55C" w14:textId="77777777">
        <w:trPr>
          <w:trHeight w:val="210"/>
        </w:trPr>
        <w:tc>
          <w:tcPr>
            <w:tcW w:w="3084" w:type="dxa"/>
            <w:tcBorders>
              <w:top w:val="nil"/>
              <w:left w:val="single" w:sz="4" w:space="0" w:color="000000"/>
              <w:bottom w:val="single" w:sz="4" w:space="0" w:color="000000"/>
              <w:right w:val="single" w:sz="4" w:space="0" w:color="000000"/>
            </w:tcBorders>
          </w:tcPr>
          <w:p w14:paraId="35D0E55A"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Lower Lip Surface</w:t>
            </w:r>
          </w:p>
        </w:tc>
        <w:tc>
          <w:tcPr>
            <w:tcW w:w="6275" w:type="dxa"/>
            <w:tcBorders>
              <w:top w:val="nil"/>
              <w:left w:val="nil"/>
              <w:bottom w:val="single" w:sz="4" w:space="0" w:color="000000"/>
              <w:right w:val="single" w:sz="4" w:space="0" w:color="000000"/>
            </w:tcBorders>
          </w:tcPr>
          <w:p w14:paraId="35D0E55B"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Semipapillose, papillose, plicate, or subplicate</w:t>
            </w:r>
          </w:p>
        </w:tc>
      </w:tr>
      <w:tr w:rsidR="00E02B8D" w14:paraId="35D0E55F" w14:textId="77777777">
        <w:trPr>
          <w:trHeight w:val="210"/>
        </w:trPr>
        <w:tc>
          <w:tcPr>
            <w:tcW w:w="3084" w:type="dxa"/>
            <w:tcBorders>
              <w:top w:val="nil"/>
              <w:left w:val="single" w:sz="4" w:space="0" w:color="000000"/>
              <w:bottom w:val="single" w:sz="4" w:space="0" w:color="000000"/>
              <w:right w:val="single" w:sz="4" w:space="0" w:color="000000"/>
            </w:tcBorders>
          </w:tcPr>
          <w:p w14:paraId="35D0E55D"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Lower Lip Corner</w:t>
            </w:r>
          </w:p>
        </w:tc>
        <w:tc>
          <w:tcPr>
            <w:tcW w:w="6275" w:type="dxa"/>
            <w:tcBorders>
              <w:top w:val="nil"/>
              <w:left w:val="nil"/>
              <w:bottom w:val="single" w:sz="4" w:space="0" w:color="000000"/>
              <w:right w:val="single" w:sz="4" w:space="0" w:color="000000"/>
            </w:tcBorders>
          </w:tcPr>
          <w:p w14:paraId="35D0E55E" w14:textId="3A05E45F"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Abruptly or markedly thinned at lateral </w:t>
            </w:r>
            <w:r w:rsidR="00717AEF">
              <w:rPr>
                <w:rFonts w:ascii="Times New Roman" w:eastAsia="Times New Roman" w:hAnsi="Times New Roman" w:cs="Times New Roman"/>
                <w:color w:val="000000"/>
              </w:rPr>
              <w:t xml:space="preserve">corners, </w:t>
            </w:r>
            <w:r>
              <w:rPr>
                <w:rFonts w:ascii="Times New Roman" w:eastAsia="Times New Roman" w:hAnsi="Times New Roman" w:cs="Times New Roman"/>
                <w:color w:val="000000"/>
              </w:rPr>
              <w:t>smoothly curved, or evenly tapered</w:t>
            </w:r>
          </w:p>
        </w:tc>
      </w:tr>
      <w:tr w:rsidR="00E02B8D" w14:paraId="35D0E562" w14:textId="77777777">
        <w:trPr>
          <w:trHeight w:val="210"/>
        </w:trPr>
        <w:tc>
          <w:tcPr>
            <w:tcW w:w="3084" w:type="dxa"/>
            <w:tcBorders>
              <w:top w:val="nil"/>
              <w:left w:val="single" w:sz="4" w:space="0" w:color="000000"/>
              <w:bottom w:val="single" w:sz="4" w:space="0" w:color="000000"/>
              <w:right w:val="single" w:sz="4" w:space="0" w:color="000000"/>
            </w:tcBorders>
          </w:tcPr>
          <w:p w14:paraId="35D0E560"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Rear Edge of Lower Lip (Lip Shape)</w:t>
            </w:r>
          </w:p>
        </w:tc>
        <w:tc>
          <w:tcPr>
            <w:tcW w:w="6275" w:type="dxa"/>
            <w:tcBorders>
              <w:top w:val="nil"/>
              <w:left w:val="nil"/>
              <w:bottom w:val="single" w:sz="4" w:space="0" w:color="000000"/>
              <w:right w:val="single" w:sz="4" w:space="0" w:color="000000"/>
            </w:tcBorders>
          </w:tcPr>
          <w:p w14:paraId="35D0E561"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Inverted V- or U-shaped or straight</w:t>
            </w:r>
          </w:p>
        </w:tc>
      </w:tr>
      <w:tr w:rsidR="00E02B8D" w14:paraId="35D0E565" w14:textId="77777777">
        <w:trPr>
          <w:trHeight w:val="210"/>
        </w:trPr>
        <w:tc>
          <w:tcPr>
            <w:tcW w:w="3084" w:type="dxa"/>
            <w:tcBorders>
              <w:top w:val="nil"/>
              <w:left w:val="single" w:sz="4" w:space="0" w:color="000000"/>
              <w:bottom w:val="single" w:sz="4" w:space="0" w:color="000000"/>
              <w:right w:val="single" w:sz="4" w:space="0" w:color="000000"/>
            </w:tcBorders>
          </w:tcPr>
          <w:p w14:paraId="35D0E563" w14:textId="77777777" w:rsidR="00E02B8D" w:rsidRPr="005F13BE" w:rsidRDefault="00000000">
            <w:pPr>
              <w:rPr>
                <w:rFonts w:ascii="Times New Roman" w:eastAsia="Times New Roman" w:hAnsi="Times New Roman" w:cs="Times New Roman"/>
                <w:color w:val="000000"/>
              </w:rPr>
            </w:pPr>
            <w:r w:rsidRPr="005F13BE">
              <w:rPr>
                <w:rFonts w:ascii="Times New Roman" w:eastAsia="Times New Roman" w:hAnsi="Times New Roman" w:cs="Times New Roman"/>
                <w:color w:val="000000"/>
              </w:rPr>
              <w:t>Gular Pad</w:t>
            </w:r>
          </w:p>
        </w:tc>
        <w:tc>
          <w:tcPr>
            <w:tcW w:w="6275" w:type="dxa"/>
            <w:tcBorders>
              <w:top w:val="nil"/>
              <w:left w:val="nil"/>
              <w:bottom w:val="single" w:sz="4" w:space="0" w:color="000000"/>
              <w:right w:val="single" w:sz="4" w:space="0" w:color="000000"/>
            </w:tcBorders>
          </w:tcPr>
          <w:p w14:paraId="35D0E564" w14:textId="77777777" w:rsidR="00E02B8D" w:rsidRDefault="00000000">
            <w:pPr>
              <w:rPr>
                <w:rFonts w:ascii="Times New Roman" w:eastAsia="Times New Roman" w:hAnsi="Times New Roman" w:cs="Times New Roman"/>
                <w:color w:val="000000"/>
              </w:rPr>
            </w:pPr>
            <w:r>
              <w:rPr>
                <w:rFonts w:ascii="Times New Roman" w:eastAsia="Times New Roman" w:hAnsi="Times New Roman" w:cs="Times New Roman"/>
                <w:color w:val="000000"/>
              </w:rPr>
              <w:t>Prominent or not</w:t>
            </w:r>
          </w:p>
        </w:tc>
      </w:tr>
    </w:tbl>
    <w:p w14:paraId="35D0E566" w14:textId="77777777" w:rsidR="00E02B8D" w:rsidRDefault="00E02B8D">
      <w:pPr>
        <w:rPr>
          <w:rFonts w:ascii="Times New Roman" w:eastAsia="Times New Roman" w:hAnsi="Times New Roman" w:cs="Times New Roman"/>
          <w:color w:val="000000"/>
        </w:rPr>
      </w:pPr>
    </w:p>
    <w:sectPr w:rsidR="00E02B8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1" w:fontKey="{BA5137AE-D562-4E6B-B091-98558DF4036F}"/>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2" w:fontKey="{6B56E12E-2BDA-4851-B269-FD7F1673A0CC}"/>
    <w:embedItalic r:id="rId3" w:fontKey="{CBA3B709-D88B-4B45-AAAC-6A83108A06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B8D"/>
    <w:rsid w:val="00025F3F"/>
    <w:rsid w:val="00117011"/>
    <w:rsid w:val="00180E66"/>
    <w:rsid w:val="001E53A7"/>
    <w:rsid w:val="001F3285"/>
    <w:rsid w:val="0020598E"/>
    <w:rsid w:val="0025681D"/>
    <w:rsid w:val="00344678"/>
    <w:rsid w:val="00361E4C"/>
    <w:rsid w:val="003B6368"/>
    <w:rsid w:val="003D76B6"/>
    <w:rsid w:val="00423ACA"/>
    <w:rsid w:val="0048018A"/>
    <w:rsid w:val="005021B0"/>
    <w:rsid w:val="005F13BE"/>
    <w:rsid w:val="006C3DA0"/>
    <w:rsid w:val="00717AEF"/>
    <w:rsid w:val="00723F47"/>
    <w:rsid w:val="00770B4D"/>
    <w:rsid w:val="00772E27"/>
    <w:rsid w:val="00772E41"/>
    <w:rsid w:val="00774311"/>
    <w:rsid w:val="007E0EDA"/>
    <w:rsid w:val="008064A1"/>
    <w:rsid w:val="008671E6"/>
    <w:rsid w:val="00880E6A"/>
    <w:rsid w:val="00895681"/>
    <w:rsid w:val="00970832"/>
    <w:rsid w:val="0097629A"/>
    <w:rsid w:val="009B6520"/>
    <w:rsid w:val="00A12E7B"/>
    <w:rsid w:val="00B06B6E"/>
    <w:rsid w:val="00B30B71"/>
    <w:rsid w:val="00B81812"/>
    <w:rsid w:val="00C007E8"/>
    <w:rsid w:val="00C657E1"/>
    <w:rsid w:val="00C92DFF"/>
    <w:rsid w:val="00CD7AFC"/>
    <w:rsid w:val="00D8686E"/>
    <w:rsid w:val="00E02B8D"/>
    <w:rsid w:val="00E15495"/>
    <w:rsid w:val="00E16F5D"/>
    <w:rsid w:val="00EA7755"/>
    <w:rsid w:val="00EF5F75"/>
    <w:rsid w:val="00F11AF4"/>
    <w:rsid w:val="00F53646"/>
    <w:rsid w:val="00FC4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E4A7"/>
  <w15:docId w15:val="{BB476109-8A2A-481B-8006-9862DA9B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BEE"/>
  </w:style>
  <w:style w:type="paragraph" w:styleId="Heading1">
    <w:name w:val="heading 1"/>
    <w:basedOn w:val="Normal"/>
    <w:next w:val="Normal"/>
    <w:link w:val="Heading1Char"/>
    <w:uiPriority w:val="9"/>
    <w:qFormat/>
    <w:rsid w:val="00055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6656"/>
    <w:pPr>
      <w:keepNext/>
      <w:keepLines/>
      <w:shd w:val="clear" w:color="auto" w:fill="C1E4F5" w:themeFill="accent1" w:themeFillTint="33"/>
      <w:jc w:val="center"/>
      <w:outlineLvl w:val="2"/>
    </w:pPr>
    <w:rPr>
      <w:rFonts w:eastAsiaTheme="majorEastAsia"/>
      <w:bCs/>
      <w:color w:val="0A2F40" w:themeColor="accent1" w:themeShade="7F"/>
    </w:rPr>
  </w:style>
  <w:style w:type="paragraph" w:styleId="Heading4">
    <w:name w:val="heading 4"/>
    <w:basedOn w:val="Normal"/>
    <w:next w:val="Normal"/>
    <w:link w:val="Heading4Char"/>
    <w:uiPriority w:val="9"/>
    <w:semiHidden/>
    <w:unhideWhenUsed/>
    <w:qFormat/>
    <w:rsid w:val="00055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54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54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54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54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54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rsid w:val="0005544F"/>
    <w:pPr>
      <w:spacing w:after="80"/>
      <w:contextualSpacing/>
    </w:pPr>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B86656"/>
    <w:rPr>
      <w:rFonts w:eastAsiaTheme="majorEastAsia"/>
      <w:b/>
      <w:color w:val="0A2F40" w:themeColor="accent1" w:themeShade="7F"/>
      <w:shd w:val="clear" w:color="auto" w:fill="C1E4F5" w:themeFill="accent1" w:themeFillTint="33"/>
    </w:rPr>
  </w:style>
  <w:style w:type="character" w:customStyle="1" w:styleId="Heading1Char">
    <w:name w:val="Heading 1 Char"/>
    <w:basedOn w:val="DefaultParagraphFont"/>
    <w:link w:val="Heading1"/>
    <w:uiPriority w:val="9"/>
    <w:rsid w:val="000554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44F"/>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05544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544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544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544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544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544F"/>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rsid w:val="000554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rFonts w:ascii="Aptos" w:eastAsia="Aptos" w:hAnsi="Aptos" w:cs="Aptos"/>
      <w:color w:val="595959"/>
      <w:sz w:val="28"/>
      <w:szCs w:val="28"/>
    </w:rPr>
  </w:style>
  <w:style w:type="character" w:customStyle="1" w:styleId="SubtitleChar">
    <w:name w:val="Subtitle Char"/>
    <w:basedOn w:val="DefaultParagraphFont"/>
    <w:link w:val="Subtitle"/>
    <w:uiPriority w:val="11"/>
    <w:rsid w:val="0005544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54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544F"/>
    <w:rPr>
      <w:i/>
      <w:iCs/>
      <w:color w:val="404040" w:themeColor="text1" w:themeTint="BF"/>
    </w:rPr>
  </w:style>
  <w:style w:type="paragraph" w:styleId="ListParagraph">
    <w:name w:val="List Paragraph"/>
    <w:basedOn w:val="Normal"/>
    <w:uiPriority w:val="34"/>
    <w:qFormat/>
    <w:rsid w:val="0005544F"/>
    <w:pPr>
      <w:ind w:left="720"/>
      <w:contextualSpacing/>
    </w:pPr>
  </w:style>
  <w:style w:type="character" w:styleId="IntenseEmphasis">
    <w:name w:val="Intense Emphasis"/>
    <w:basedOn w:val="DefaultParagraphFont"/>
    <w:uiPriority w:val="21"/>
    <w:qFormat/>
    <w:rsid w:val="0005544F"/>
    <w:rPr>
      <w:i/>
      <w:iCs/>
      <w:color w:val="0F4761" w:themeColor="accent1" w:themeShade="BF"/>
    </w:rPr>
  </w:style>
  <w:style w:type="paragraph" w:styleId="IntenseQuote">
    <w:name w:val="Intense Quote"/>
    <w:basedOn w:val="Normal"/>
    <w:next w:val="Normal"/>
    <w:link w:val="IntenseQuoteChar"/>
    <w:uiPriority w:val="30"/>
    <w:qFormat/>
    <w:rsid w:val="00055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44F"/>
    <w:rPr>
      <w:i/>
      <w:iCs/>
      <w:color w:val="0F4761" w:themeColor="accent1" w:themeShade="BF"/>
    </w:rPr>
  </w:style>
  <w:style w:type="character" w:styleId="IntenseReference">
    <w:name w:val="Intense Reference"/>
    <w:basedOn w:val="DefaultParagraphFont"/>
    <w:uiPriority w:val="32"/>
    <w:qFormat/>
    <w:rsid w:val="0005544F"/>
    <w:rPr>
      <w:b/>
      <w:bCs/>
      <w:smallCaps/>
      <w:color w:val="0F4761" w:themeColor="accent1" w:themeShade="BF"/>
      <w:spacing w:val="5"/>
    </w:rPr>
  </w:style>
  <w:style w:type="paragraph" w:styleId="Header">
    <w:name w:val="header"/>
    <w:basedOn w:val="Normal"/>
    <w:link w:val="HeaderChar"/>
    <w:uiPriority w:val="99"/>
    <w:unhideWhenUsed/>
    <w:rsid w:val="0005544F"/>
    <w:pPr>
      <w:tabs>
        <w:tab w:val="center" w:pos="4680"/>
        <w:tab w:val="right" w:pos="9360"/>
      </w:tabs>
    </w:pPr>
  </w:style>
  <w:style w:type="character" w:customStyle="1" w:styleId="HeaderChar">
    <w:name w:val="Header Char"/>
    <w:basedOn w:val="DefaultParagraphFont"/>
    <w:link w:val="Header"/>
    <w:uiPriority w:val="99"/>
    <w:rsid w:val="0005544F"/>
  </w:style>
  <w:style w:type="paragraph" w:styleId="Footer">
    <w:name w:val="footer"/>
    <w:basedOn w:val="Normal"/>
    <w:link w:val="FooterChar"/>
    <w:uiPriority w:val="99"/>
    <w:unhideWhenUsed/>
    <w:rsid w:val="0005544F"/>
    <w:pPr>
      <w:tabs>
        <w:tab w:val="center" w:pos="4680"/>
        <w:tab w:val="right" w:pos="9360"/>
      </w:tabs>
    </w:pPr>
  </w:style>
  <w:style w:type="character" w:customStyle="1" w:styleId="FooterChar">
    <w:name w:val="Footer Char"/>
    <w:basedOn w:val="DefaultParagraphFont"/>
    <w:link w:val="Footer"/>
    <w:uiPriority w:val="99"/>
    <w:rsid w:val="0005544F"/>
  </w:style>
  <w:style w:type="paragraph" w:customStyle="1" w:styleId="Default">
    <w:name w:val="Default"/>
    <w:rsid w:val="00AE3F12"/>
    <w:pPr>
      <w:autoSpaceDE w:val="0"/>
      <w:autoSpaceDN w:val="0"/>
      <w:adjustRightInd w:val="0"/>
    </w:pPr>
    <w:rPr>
      <w:rFonts w:ascii="Times New Roman" w:hAnsi="Times New Roman" w:cs="Times New Roman"/>
      <w:color w:val="000000"/>
      <w:sz w:val="24"/>
      <w:szCs w:val="24"/>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lbM4FY1gY85WTZcGxRNncHFWTg==">CgMxLjA4AHIhMUp6WFBvUXZHSXBlai1OblY5ZjZQNDhlTURNY2tMQ1Q3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1391</Words>
  <Characters>7167</Characters>
  <Application>Microsoft Office Word</Application>
  <DocSecurity>0</DocSecurity>
  <Lines>193</Lines>
  <Paragraphs>145</Paragraphs>
  <ScaleCrop>false</ScaleCrop>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Bryn Tracy</dc:creator>
  <cp:lastModifiedBy>Hogue, Gabriela</cp:lastModifiedBy>
  <cp:revision>46</cp:revision>
  <dcterms:created xsi:type="dcterms:W3CDTF">2025-04-07T21:09:00Z</dcterms:created>
  <dcterms:modified xsi:type="dcterms:W3CDTF">2026-01-09T15:07:00Z</dcterms:modified>
</cp:coreProperties>
</file>